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AC7B9" w14:textId="77777777" w:rsidR="00B77874" w:rsidRPr="00F4463B" w:rsidRDefault="00B77874" w:rsidP="00B77874">
      <w:pPr>
        <w:jc w:val="center"/>
        <w:rPr>
          <w:rFonts w:ascii="Times New Roman" w:hAnsi="Times New Roman"/>
          <w:b/>
        </w:rPr>
      </w:pPr>
      <w:bookmarkStart w:id="0" w:name="_Hlk69377592"/>
      <w:r w:rsidRPr="00F4463B">
        <w:rPr>
          <w:rFonts w:ascii="Times New Roman" w:hAnsi="Times New Roman"/>
          <w:b/>
        </w:rPr>
        <w:t>The Closing-the-Gap Effect:</w:t>
      </w:r>
    </w:p>
    <w:p w14:paraId="649CB416" w14:textId="77777777" w:rsidR="00B77874" w:rsidRDefault="00B77874" w:rsidP="00B77874">
      <w:pPr>
        <w:jc w:val="center"/>
        <w:rPr>
          <w:rFonts w:ascii="Times New Roman" w:hAnsi="Times New Roman"/>
          <w:b/>
        </w:rPr>
      </w:pPr>
      <w:r w:rsidRPr="00F4463B">
        <w:rPr>
          <w:rFonts w:ascii="Times New Roman" w:hAnsi="Times New Roman"/>
          <w:b/>
        </w:rPr>
        <w:t>Joint Evaluation Leads Donors to Help Charities Farther from Their Goal</w:t>
      </w:r>
    </w:p>
    <w:p w14:paraId="6AB58C74" w14:textId="77777777" w:rsidR="00B77874" w:rsidRPr="00160E13" w:rsidRDefault="00B77874" w:rsidP="00B77874">
      <w:pPr>
        <w:jc w:val="center"/>
        <w:rPr>
          <w:rFonts w:ascii="Times New Roman" w:hAnsi="Times New Roman"/>
        </w:rPr>
      </w:pPr>
    </w:p>
    <w:p w14:paraId="51DA1D86" w14:textId="77777777" w:rsidR="00B77874" w:rsidRPr="00160E13" w:rsidRDefault="00B77874" w:rsidP="00B77874">
      <w:pPr>
        <w:jc w:val="center"/>
        <w:rPr>
          <w:rFonts w:ascii="Times New Roman" w:hAnsi="Times New Roman"/>
        </w:rPr>
      </w:pPr>
      <w:r>
        <w:rPr>
          <w:rFonts w:ascii="Times New Roman" w:hAnsi="Times New Roman"/>
        </w:rPr>
        <w:t>RISHAD HABIB</w:t>
      </w:r>
      <w:r w:rsidRPr="00160E13">
        <w:rPr>
          <w:rFonts w:ascii="Times New Roman" w:hAnsi="Times New Roman"/>
        </w:rPr>
        <w:t>*</w:t>
      </w:r>
    </w:p>
    <w:p w14:paraId="37AB8049" w14:textId="77777777" w:rsidR="00B77874" w:rsidRPr="00160E13" w:rsidRDefault="00B77874" w:rsidP="00B77874">
      <w:pPr>
        <w:jc w:val="center"/>
        <w:rPr>
          <w:rFonts w:ascii="Times New Roman" w:hAnsi="Times New Roman"/>
        </w:rPr>
      </w:pPr>
      <w:r w:rsidRPr="00160E13">
        <w:rPr>
          <w:rFonts w:ascii="Times New Roman" w:hAnsi="Times New Roman"/>
        </w:rPr>
        <w:t>Assistant Professor</w:t>
      </w:r>
      <w:r>
        <w:rPr>
          <w:rFonts w:ascii="Times New Roman" w:hAnsi="Times New Roman"/>
        </w:rPr>
        <w:t>,</w:t>
      </w:r>
      <w:r w:rsidRPr="00160E13">
        <w:rPr>
          <w:rFonts w:ascii="Times New Roman" w:hAnsi="Times New Roman"/>
        </w:rPr>
        <w:t xml:space="preserve"> Marketing</w:t>
      </w:r>
      <w:r>
        <w:rPr>
          <w:rFonts w:ascii="Times New Roman" w:hAnsi="Times New Roman"/>
        </w:rPr>
        <w:t xml:space="preserve"> Management</w:t>
      </w:r>
    </w:p>
    <w:p w14:paraId="49654BDB" w14:textId="77777777" w:rsidR="00B77874" w:rsidRPr="00160E13" w:rsidRDefault="00B77874" w:rsidP="00B77874">
      <w:pPr>
        <w:jc w:val="center"/>
        <w:rPr>
          <w:rFonts w:ascii="Times New Roman" w:hAnsi="Times New Roman"/>
        </w:rPr>
      </w:pPr>
      <w:r>
        <w:rPr>
          <w:rFonts w:ascii="Times New Roman" w:hAnsi="Times New Roman"/>
        </w:rPr>
        <w:t>Ted Rogers School of Management</w:t>
      </w:r>
    </w:p>
    <w:p w14:paraId="4E1BFA82" w14:textId="77777777" w:rsidR="00B77874" w:rsidRPr="00160E13" w:rsidRDefault="00B77874" w:rsidP="00B77874">
      <w:pPr>
        <w:jc w:val="center"/>
        <w:rPr>
          <w:rFonts w:ascii="Times New Roman" w:hAnsi="Times New Roman"/>
        </w:rPr>
      </w:pPr>
      <w:r>
        <w:rPr>
          <w:rFonts w:ascii="Times New Roman" w:hAnsi="Times New Roman"/>
        </w:rPr>
        <w:t>Toronto Metropolitan University</w:t>
      </w:r>
    </w:p>
    <w:p w14:paraId="226620EC" w14:textId="77777777" w:rsidR="00B77874" w:rsidRPr="00B77874" w:rsidRDefault="00B77874" w:rsidP="00B77874">
      <w:pPr>
        <w:jc w:val="center"/>
        <w:rPr>
          <w:rFonts w:ascii="Times New Roman" w:hAnsi="Times New Roman"/>
          <w:lang w:val="it-IT"/>
        </w:rPr>
      </w:pPr>
      <w:r w:rsidRPr="00B77874">
        <w:rPr>
          <w:rFonts w:ascii="Times New Roman" w:hAnsi="Times New Roman"/>
          <w:lang w:val="it-IT"/>
        </w:rPr>
        <w:t>Toronto, Ontario, Canada</w:t>
      </w:r>
    </w:p>
    <w:p w14:paraId="4309D374" w14:textId="77777777" w:rsidR="00B77874" w:rsidRPr="00B77874" w:rsidRDefault="00B77874" w:rsidP="00B77874">
      <w:pPr>
        <w:jc w:val="center"/>
        <w:rPr>
          <w:rFonts w:ascii="Times New Roman" w:hAnsi="Times New Roman"/>
          <w:lang w:val="it-IT"/>
        </w:rPr>
      </w:pPr>
      <w:r w:rsidRPr="00B77874">
        <w:rPr>
          <w:rFonts w:ascii="Times New Roman" w:hAnsi="Times New Roman"/>
          <w:lang w:val="it-IT"/>
        </w:rPr>
        <w:t>rishad.habib@torontomu.ca</w:t>
      </w:r>
    </w:p>
    <w:p w14:paraId="6B01DB2F" w14:textId="77777777" w:rsidR="00B77874" w:rsidRPr="00B77874" w:rsidRDefault="00B77874" w:rsidP="00B77874">
      <w:pPr>
        <w:jc w:val="center"/>
        <w:rPr>
          <w:rFonts w:ascii="Times New Roman" w:hAnsi="Times New Roman"/>
          <w:lang w:val="it-IT"/>
        </w:rPr>
      </w:pPr>
    </w:p>
    <w:p w14:paraId="4142964E" w14:textId="77777777" w:rsidR="00B77874" w:rsidRPr="00B77874" w:rsidRDefault="00B77874" w:rsidP="00B77874">
      <w:pPr>
        <w:rPr>
          <w:rFonts w:ascii="Times New Roman" w:hAnsi="Times New Roman"/>
          <w:lang w:val="it-IT"/>
        </w:rPr>
      </w:pPr>
    </w:p>
    <w:p w14:paraId="328D0E78" w14:textId="77777777" w:rsidR="00B77874" w:rsidRDefault="00B77874" w:rsidP="00B77874">
      <w:pPr>
        <w:ind w:firstLine="90"/>
        <w:jc w:val="center"/>
        <w:rPr>
          <w:rFonts w:ascii="Times New Roman" w:hAnsi="Times New Roman"/>
        </w:rPr>
      </w:pPr>
      <w:r w:rsidRPr="00F41CD6">
        <w:rPr>
          <w:rFonts w:ascii="Times New Roman" w:hAnsi="Times New Roman"/>
        </w:rPr>
        <w:t>DAVID J. HARDISTY</w:t>
      </w:r>
    </w:p>
    <w:p w14:paraId="6870ED27" w14:textId="77777777" w:rsidR="00B77874" w:rsidRDefault="00B77874" w:rsidP="00B77874">
      <w:pPr>
        <w:ind w:firstLine="90"/>
        <w:jc w:val="center"/>
        <w:rPr>
          <w:rFonts w:ascii="Times New Roman" w:hAnsi="Times New Roman"/>
        </w:rPr>
      </w:pPr>
      <w:r w:rsidRPr="00F41CD6">
        <w:rPr>
          <w:rFonts w:ascii="Times New Roman" w:hAnsi="Times New Roman"/>
        </w:rPr>
        <w:t>Associate Professor</w:t>
      </w:r>
      <w:r>
        <w:rPr>
          <w:rFonts w:ascii="Times New Roman" w:hAnsi="Times New Roman"/>
        </w:rPr>
        <w:t xml:space="preserve">, </w:t>
      </w:r>
      <w:r w:rsidRPr="00F41CD6">
        <w:rPr>
          <w:rFonts w:ascii="Times New Roman" w:hAnsi="Times New Roman"/>
        </w:rPr>
        <w:t>Marketing and Behavioural Science</w:t>
      </w:r>
    </w:p>
    <w:p w14:paraId="4F46F005" w14:textId="77777777" w:rsidR="00B77874" w:rsidRPr="00160E13" w:rsidRDefault="00B77874" w:rsidP="00B77874">
      <w:pPr>
        <w:autoSpaceDE w:val="0"/>
        <w:autoSpaceDN w:val="0"/>
        <w:adjustRightInd w:val="0"/>
        <w:ind w:firstLine="90"/>
        <w:jc w:val="center"/>
        <w:rPr>
          <w:rFonts w:ascii="Times New Roman" w:hAnsi="Times New Roman"/>
        </w:rPr>
      </w:pPr>
      <w:r w:rsidRPr="00160E13">
        <w:rPr>
          <w:rFonts w:ascii="Times New Roman" w:hAnsi="Times New Roman"/>
        </w:rPr>
        <w:t>Sauder School of Business</w:t>
      </w:r>
    </w:p>
    <w:p w14:paraId="6F72DD82" w14:textId="77777777" w:rsidR="00B77874" w:rsidRPr="00160E13" w:rsidRDefault="00B77874" w:rsidP="00B77874">
      <w:pPr>
        <w:ind w:firstLine="90"/>
        <w:jc w:val="center"/>
        <w:rPr>
          <w:rFonts w:ascii="Times New Roman" w:hAnsi="Times New Roman"/>
        </w:rPr>
      </w:pPr>
      <w:r w:rsidRPr="00160E13">
        <w:rPr>
          <w:rFonts w:ascii="Times New Roman" w:hAnsi="Times New Roman"/>
        </w:rPr>
        <w:t>University of British Columbia</w:t>
      </w:r>
    </w:p>
    <w:p w14:paraId="24A8C16F" w14:textId="77777777" w:rsidR="00B77874" w:rsidRPr="00160E13" w:rsidRDefault="00B77874" w:rsidP="00B77874">
      <w:pPr>
        <w:autoSpaceDE w:val="0"/>
        <w:autoSpaceDN w:val="0"/>
        <w:adjustRightInd w:val="0"/>
        <w:ind w:firstLine="90"/>
        <w:jc w:val="center"/>
        <w:rPr>
          <w:rFonts w:ascii="Times New Roman" w:hAnsi="Times New Roman"/>
        </w:rPr>
      </w:pPr>
      <w:r w:rsidRPr="00160E13">
        <w:rPr>
          <w:rFonts w:ascii="Times New Roman" w:hAnsi="Times New Roman"/>
        </w:rPr>
        <w:t>Vancouver, British Columbia</w:t>
      </w:r>
      <w:r>
        <w:rPr>
          <w:rFonts w:ascii="Times New Roman" w:hAnsi="Times New Roman"/>
        </w:rPr>
        <w:t xml:space="preserve">, </w:t>
      </w:r>
      <w:r w:rsidRPr="00160E13">
        <w:rPr>
          <w:rFonts w:ascii="Times New Roman" w:hAnsi="Times New Roman"/>
        </w:rPr>
        <w:t xml:space="preserve">Canada </w:t>
      </w:r>
    </w:p>
    <w:p w14:paraId="791186E1" w14:textId="77777777" w:rsidR="00B77874" w:rsidRDefault="00B77874" w:rsidP="00B77874">
      <w:pPr>
        <w:ind w:firstLine="90"/>
        <w:jc w:val="center"/>
        <w:rPr>
          <w:rFonts w:ascii="Times New Roman" w:hAnsi="Times New Roman"/>
        </w:rPr>
      </w:pPr>
      <w:r w:rsidRPr="00F41CD6">
        <w:rPr>
          <w:rFonts w:ascii="Times New Roman" w:hAnsi="Times New Roman"/>
        </w:rPr>
        <w:t>david.hardisty@sauder.ubc.ca</w:t>
      </w:r>
    </w:p>
    <w:p w14:paraId="3070517D" w14:textId="77777777" w:rsidR="00B77874" w:rsidRDefault="00B77874" w:rsidP="00B77874">
      <w:pPr>
        <w:ind w:firstLine="90"/>
        <w:jc w:val="center"/>
        <w:rPr>
          <w:rFonts w:ascii="Times New Roman" w:hAnsi="Times New Roman"/>
        </w:rPr>
      </w:pPr>
    </w:p>
    <w:p w14:paraId="5FF2E3AD" w14:textId="77777777" w:rsidR="00B77874" w:rsidRDefault="00B77874" w:rsidP="00B77874">
      <w:pPr>
        <w:ind w:firstLine="90"/>
        <w:jc w:val="center"/>
        <w:rPr>
          <w:rFonts w:ascii="Times New Roman" w:hAnsi="Times New Roman"/>
        </w:rPr>
      </w:pPr>
    </w:p>
    <w:p w14:paraId="041557B1" w14:textId="77777777" w:rsidR="00B77874" w:rsidRPr="00160E13" w:rsidRDefault="00B77874" w:rsidP="00B77874">
      <w:pPr>
        <w:ind w:firstLine="90"/>
        <w:jc w:val="center"/>
        <w:rPr>
          <w:rFonts w:ascii="Times New Roman" w:hAnsi="Times New Roman"/>
        </w:rPr>
      </w:pPr>
      <w:r w:rsidRPr="00160E13">
        <w:rPr>
          <w:rFonts w:ascii="Times New Roman" w:hAnsi="Times New Roman"/>
        </w:rPr>
        <w:t>KATHERINE WHITE</w:t>
      </w:r>
    </w:p>
    <w:p w14:paraId="41D1CDBC" w14:textId="77777777" w:rsidR="00B77874" w:rsidRPr="00160E13" w:rsidRDefault="00B77874" w:rsidP="00B77874">
      <w:pPr>
        <w:ind w:firstLine="90"/>
        <w:jc w:val="center"/>
        <w:rPr>
          <w:rFonts w:ascii="Times New Roman" w:hAnsi="Times New Roman"/>
        </w:rPr>
      </w:pPr>
      <w:r w:rsidRPr="00160E13">
        <w:rPr>
          <w:rFonts w:ascii="Times New Roman" w:hAnsi="Times New Roman"/>
        </w:rPr>
        <w:t>Professor in Consumer Insights, Prosocial Consumption, and Sustainability</w:t>
      </w:r>
    </w:p>
    <w:p w14:paraId="28CE7420" w14:textId="77777777" w:rsidR="00B77874" w:rsidRDefault="00B77874" w:rsidP="00B77874">
      <w:pPr>
        <w:autoSpaceDE w:val="0"/>
        <w:autoSpaceDN w:val="0"/>
        <w:adjustRightInd w:val="0"/>
        <w:ind w:firstLine="90"/>
        <w:jc w:val="center"/>
        <w:rPr>
          <w:rFonts w:ascii="Times New Roman" w:hAnsi="Times New Roman"/>
        </w:rPr>
      </w:pPr>
      <w:r w:rsidRPr="00160E13">
        <w:rPr>
          <w:rFonts w:ascii="Times New Roman" w:hAnsi="Times New Roman"/>
        </w:rPr>
        <w:t xml:space="preserve">     </w:t>
      </w:r>
      <w:r w:rsidRPr="00F41CD6">
        <w:rPr>
          <w:rFonts w:ascii="Times New Roman" w:hAnsi="Times New Roman"/>
        </w:rPr>
        <w:t>Professor</w:t>
      </w:r>
      <w:r>
        <w:rPr>
          <w:rFonts w:ascii="Times New Roman" w:hAnsi="Times New Roman"/>
        </w:rPr>
        <w:t xml:space="preserve">, </w:t>
      </w:r>
      <w:r w:rsidRPr="00F41CD6">
        <w:rPr>
          <w:rFonts w:ascii="Times New Roman" w:hAnsi="Times New Roman"/>
        </w:rPr>
        <w:t>Marketing and Behavioural Science</w:t>
      </w:r>
      <w:r w:rsidRPr="00160E13">
        <w:rPr>
          <w:rFonts w:ascii="Times New Roman" w:hAnsi="Times New Roman"/>
        </w:rPr>
        <w:t xml:space="preserve"> </w:t>
      </w:r>
    </w:p>
    <w:p w14:paraId="1349A667" w14:textId="77777777" w:rsidR="00B77874" w:rsidRPr="00160E13" w:rsidRDefault="00B77874" w:rsidP="00B77874">
      <w:pPr>
        <w:autoSpaceDE w:val="0"/>
        <w:autoSpaceDN w:val="0"/>
        <w:adjustRightInd w:val="0"/>
        <w:ind w:firstLine="90"/>
        <w:jc w:val="center"/>
        <w:rPr>
          <w:rFonts w:ascii="Times New Roman" w:hAnsi="Times New Roman"/>
        </w:rPr>
      </w:pPr>
      <w:r w:rsidRPr="00160E13">
        <w:rPr>
          <w:rFonts w:ascii="Times New Roman" w:hAnsi="Times New Roman"/>
        </w:rPr>
        <w:t>Sauder School of Business</w:t>
      </w:r>
    </w:p>
    <w:p w14:paraId="0B81686E" w14:textId="77777777" w:rsidR="00B77874" w:rsidRPr="00160E13" w:rsidRDefault="00B77874" w:rsidP="00B77874">
      <w:pPr>
        <w:ind w:firstLine="90"/>
        <w:jc w:val="center"/>
        <w:rPr>
          <w:rFonts w:ascii="Times New Roman" w:hAnsi="Times New Roman"/>
        </w:rPr>
      </w:pPr>
      <w:r w:rsidRPr="00160E13">
        <w:rPr>
          <w:rFonts w:ascii="Times New Roman" w:hAnsi="Times New Roman"/>
        </w:rPr>
        <w:t>University of British Columbia</w:t>
      </w:r>
    </w:p>
    <w:p w14:paraId="7E900179" w14:textId="77777777" w:rsidR="00B77874" w:rsidRPr="00160E13" w:rsidRDefault="00B77874" w:rsidP="00B77874">
      <w:pPr>
        <w:autoSpaceDE w:val="0"/>
        <w:autoSpaceDN w:val="0"/>
        <w:adjustRightInd w:val="0"/>
        <w:ind w:firstLine="90"/>
        <w:jc w:val="center"/>
        <w:rPr>
          <w:rFonts w:ascii="Times New Roman" w:hAnsi="Times New Roman"/>
        </w:rPr>
      </w:pPr>
      <w:r w:rsidRPr="00160E13">
        <w:rPr>
          <w:rFonts w:ascii="Times New Roman" w:hAnsi="Times New Roman"/>
        </w:rPr>
        <w:t>Vancouver, British Columbia</w:t>
      </w:r>
      <w:r>
        <w:rPr>
          <w:rFonts w:ascii="Times New Roman" w:hAnsi="Times New Roman"/>
        </w:rPr>
        <w:t xml:space="preserve">, </w:t>
      </w:r>
      <w:r w:rsidRPr="00160E13">
        <w:rPr>
          <w:rFonts w:ascii="Times New Roman" w:hAnsi="Times New Roman"/>
        </w:rPr>
        <w:t xml:space="preserve">Canada </w:t>
      </w:r>
    </w:p>
    <w:p w14:paraId="75958407" w14:textId="77777777" w:rsidR="00B77874" w:rsidRPr="00160E13" w:rsidRDefault="00B77874" w:rsidP="00B77874">
      <w:pPr>
        <w:ind w:firstLine="90"/>
        <w:jc w:val="center"/>
        <w:rPr>
          <w:rFonts w:ascii="Times New Roman" w:hAnsi="Times New Roman"/>
        </w:rPr>
      </w:pPr>
      <w:r w:rsidRPr="00160E13">
        <w:rPr>
          <w:rFonts w:ascii="Times New Roman" w:hAnsi="Times New Roman"/>
        </w:rPr>
        <w:t>katherine.white@sauder.ubc.ca</w:t>
      </w:r>
    </w:p>
    <w:p w14:paraId="03F6F12A" w14:textId="77777777" w:rsidR="00B77874" w:rsidRPr="00160E13" w:rsidRDefault="00B77874" w:rsidP="00B77874">
      <w:pPr>
        <w:jc w:val="center"/>
        <w:rPr>
          <w:rFonts w:ascii="Times New Roman" w:hAnsi="Times New Roman"/>
        </w:rPr>
      </w:pPr>
    </w:p>
    <w:p w14:paraId="338E8C09" w14:textId="77777777" w:rsidR="00B77874" w:rsidRPr="00160E13" w:rsidRDefault="00B77874" w:rsidP="00B77874">
      <w:pPr>
        <w:jc w:val="center"/>
        <w:rPr>
          <w:rFonts w:ascii="Times New Roman" w:hAnsi="Times New Roman"/>
        </w:rPr>
      </w:pPr>
    </w:p>
    <w:p w14:paraId="7E9EFC73" w14:textId="77777777" w:rsidR="00B77874" w:rsidRPr="00160E13" w:rsidRDefault="00B77874" w:rsidP="00B77874">
      <w:pPr>
        <w:jc w:val="center"/>
        <w:rPr>
          <w:rFonts w:ascii="Times New Roman" w:hAnsi="Times New Roman"/>
        </w:rPr>
      </w:pPr>
      <w:r w:rsidRPr="00F41CD6">
        <w:rPr>
          <w:rFonts w:ascii="Times New Roman" w:hAnsi="Times New Roman"/>
        </w:rPr>
        <w:t>BAEK JUNG KIM</w:t>
      </w:r>
    </w:p>
    <w:p w14:paraId="3447B70C" w14:textId="77777777" w:rsidR="00B77874" w:rsidRDefault="00B77874" w:rsidP="00B77874">
      <w:pPr>
        <w:ind w:firstLine="90"/>
        <w:jc w:val="center"/>
        <w:rPr>
          <w:rFonts w:ascii="Times New Roman" w:hAnsi="Times New Roman"/>
        </w:rPr>
      </w:pPr>
      <w:r w:rsidRPr="00160E13">
        <w:rPr>
          <w:rFonts w:ascii="Times New Roman" w:hAnsi="Times New Roman"/>
        </w:rPr>
        <w:t xml:space="preserve"> </w:t>
      </w:r>
      <w:bookmarkEnd w:id="0"/>
      <w:r>
        <w:rPr>
          <w:rFonts w:ascii="Times New Roman" w:hAnsi="Times New Roman"/>
        </w:rPr>
        <w:t>Assistant</w:t>
      </w:r>
      <w:r w:rsidRPr="00F41CD6">
        <w:rPr>
          <w:rFonts w:ascii="Times New Roman" w:hAnsi="Times New Roman"/>
        </w:rPr>
        <w:t xml:space="preserve"> Professor</w:t>
      </w:r>
      <w:r>
        <w:rPr>
          <w:rFonts w:ascii="Times New Roman" w:hAnsi="Times New Roman"/>
        </w:rPr>
        <w:t xml:space="preserve">, </w:t>
      </w:r>
      <w:r w:rsidRPr="00F41CD6">
        <w:rPr>
          <w:rFonts w:ascii="Times New Roman" w:hAnsi="Times New Roman"/>
        </w:rPr>
        <w:t xml:space="preserve">Marketing </w:t>
      </w:r>
    </w:p>
    <w:p w14:paraId="3E461729" w14:textId="77777777" w:rsidR="00B77874" w:rsidRDefault="00B77874" w:rsidP="00B77874">
      <w:pPr>
        <w:ind w:firstLine="90"/>
        <w:jc w:val="center"/>
        <w:rPr>
          <w:rFonts w:ascii="Times New Roman" w:hAnsi="Times New Roman"/>
        </w:rPr>
      </w:pPr>
      <w:r w:rsidRPr="0040427E">
        <w:rPr>
          <w:rFonts w:ascii="Times New Roman" w:hAnsi="Times New Roman"/>
        </w:rPr>
        <w:t>Korea University Business School</w:t>
      </w:r>
    </w:p>
    <w:p w14:paraId="21F34488" w14:textId="77777777" w:rsidR="00B77874" w:rsidRPr="0040427E" w:rsidRDefault="00B77874" w:rsidP="00B77874">
      <w:pPr>
        <w:ind w:firstLine="90"/>
        <w:jc w:val="center"/>
        <w:rPr>
          <w:rFonts w:ascii="Times New Roman" w:hAnsi="Times New Roman"/>
        </w:rPr>
      </w:pPr>
      <w:r>
        <w:rPr>
          <w:rFonts w:ascii="Times New Roman" w:hAnsi="Times New Roman"/>
        </w:rPr>
        <w:t>Seoul, Korea</w:t>
      </w:r>
    </w:p>
    <w:p w14:paraId="0C98D792" w14:textId="77777777" w:rsidR="00B77874" w:rsidRDefault="00B77874" w:rsidP="00B77874">
      <w:pPr>
        <w:ind w:firstLine="90"/>
        <w:jc w:val="center"/>
        <w:rPr>
          <w:rFonts w:ascii="Times New Roman" w:hAnsi="Times New Roman"/>
        </w:rPr>
      </w:pPr>
      <w:r w:rsidRPr="0040427E">
        <w:rPr>
          <w:rFonts w:ascii="Times New Roman" w:hAnsi="Times New Roman"/>
        </w:rPr>
        <w:t>baekjungkim@korea.ac.kr</w:t>
      </w:r>
      <w:r>
        <w:rPr>
          <w:rFonts w:ascii="Times New Roman" w:hAnsi="Times New Roman"/>
        </w:rPr>
        <w:t xml:space="preserve"> </w:t>
      </w:r>
    </w:p>
    <w:p w14:paraId="5E92BE6D" w14:textId="77777777" w:rsidR="00B77874" w:rsidRPr="00160E13" w:rsidRDefault="00B77874" w:rsidP="00B77874">
      <w:pPr>
        <w:jc w:val="center"/>
        <w:rPr>
          <w:rFonts w:ascii="Times New Roman" w:hAnsi="Times New Roman"/>
        </w:rPr>
      </w:pPr>
    </w:p>
    <w:p w14:paraId="3EA032E4" w14:textId="77777777" w:rsidR="00B77874" w:rsidRDefault="00B77874" w:rsidP="00B77874">
      <w:pPr>
        <w:rPr>
          <w:rFonts w:ascii="Times New Roman" w:hAnsi="Times New Roman"/>
        </w:rPr>
      </w:pPr>
    </w:p>
    <w:p w14:paraId="22CD1FC2" w14:textId="77777777" w:rsidR="00B77874" w:rsidRDefault="00B77874" w:rsidP="00B77874">
      <w:pPr>
        <w:jc w:val="center"/>
        <w:rPr>
          <w:rFonts w:ascii="Times New Roman" w:hAnsi="Times New Roman"/>
        </w:rPr>
      </w:pPr>
      <w:r w:rsidRPr="00F41CD6">
        <w:rPr>
          <w:rFonts w:ascii="Times New Roman" w:hAnsi="Times New Roman"/>
        </w:rPr>
        <w:t>Author</w:t>
      </w:r>
      <w:r>
        <w:rPr>
          <w:rFonts w:ascii="Times New Roman" w:hAnsi="Times New Roman"/>
        </w:rPr>
        <w:t>s</w:t>
      </w:r>
      <w:r w:rsidRPr="00F41CD6">
        <w:rPr>
          <w:rFonts w:ascii="Times New Roman" w:hAnsi="Times New Roman"/>
        </w:rPr>
        <w:t xml:space="preserve"> Note</w:t>
      </w:r>
    </w:p>
    <w:p w14:paraId="32482188" w14:textId="77777777" w:rsidR="00B77874" w:rsidRPr="00F41CD6" w:rsidRDefault="00B77874" w:rsidP="00B77874">
      <w:pPr>
        <w:jc w:val="center"/>
        <w:rPr>
          <w:rFonts w:ascii="Times New Roman" w:hAnsi="Times New Roman"/>
        </w:rPr>
      </w:pPr>
    </w:p>
    <w:p w14:paraId="143B1FE6" w14:textId="77777777" w:rsidR="00B77874" w:rsidRDefault="00B77874" w:rsidP="00B77874">
      <w:pPr>
        <w:jc w:val="center"/>
        <w:rPr>
          <w:rFonts w:ascii="Times New Roman" w:hAnsi="Times New Roman"/>
        </w:rPr>
      </w:pPr>
      <w:r>
        <w:rPr>
          <w:rFonts w:ascii="Times New Roman" w:hAnsi="Times New Roman"/>
        </w:rPr>
        <w:t>*</w:t>
      </w:r>
      <w:r w:rsidRPr="00F41CD6">
        <w:rPr>
          <w:rFonts w:ascii="Times New Roman" w:hAnsi="Times New Roman"/>
        </w:rPr>
        <w:t>Correspondence concerning this manuscript should be addressed to Rishad Habib, Assistant Professor</w:t>
      </w:r>
      <w:r>
        <w:rPr>
          <w:rFonts w:ascii="Times New Roman" w:hAnsi="Times New Roman"/>
        </w:rPr>
        <w:t xml:space="preserve"> of</w:t>
      </w:r>
      <w:r w:rsidRPr="00F41CD6">
        <w:rPr>
          <w:rFonts w:ascii="Times New Roman" w:hAnsi="Times New Roman"/>
        </w:rPr>
        <w:t xml:space="preserve"> Marketing</w:t>
      </w:r>
      <w:r>
        <w:rPr>
          <w:rFonts w:ascii="Times New Roman" w:hAnsi="Times New Roman"/>
        </w:rPr>
        <w:t xml:space="preserve"> Management</w:t>
      </w:r>
      <w:r w:rsidRPr="00F41CD6">
        <w:rPr>
          <w:rFonts w:ascii="Times New Roman" w:hAnsi="Times New Roman"/>
        </w:rPr>
        <w:t>, Ted Rogers School of Management, Toronto Metropolitan University, rishad.habib@</w:t>
      </w:r>
      <w:r>
        <w:rPr>
          <w:rFonts w:ascii="Times New Roman" w:hAnsi="Times New Roman"/>
        </w:rPr>
        <w:t>torontomu</w:t>
      </w:r>
      <w:r w:rsidRPr="00F41CD6">
        <w:rPr>
          <w:rFonts w:ascii="Times New Roman" w:hAnsi="Times New Roman"/>
        </w:rPr>
        <w:t xml:space="preserve">.ca. </w:t>
      </w:r>
    </w:p>
    <w:p w14:paraId="64D35FB0" w14:textId="677C6C36" w:rsidR="00B77874" w:rsidRPr="00B77874" w:rsidRDefault="00B77874" w:rsidP="00B77874">
      <w:pPr>
        <w:jc w:val="center"/>
        <w:rPr>
          <w:rFonts w:ascii="Times New Roman" w:hAnsi="Times New Roman"/>
        </w:rPr>
      </w:pPr>
      <w:r w:rsidRPr="00CB5D4B">
        <w:rPr>
          <w:rFonts w:ascii="Times New Roman" w:hAnsi="Times New Roman"/>
        </w:rPr>
        <w:t>This research was supported by grants from the Social Sciences and Humanities Research Council of Canada [</w:t>
      </w:r>
      <w:r w:rsidRPr="006332D5">
        <w:rPr>
          <w:rFonts w:ascii="Times New Roman" w:hAnsi="Times New Roman"/>
        </w:rPr>
        <w:t>430-2021-00650</w:t>
      </w:r>
      <w:r w:rsidRPr="00CB5D4B">
        <w:rPr>
          <w:rFonts w:ascii="Times New Roman" w:hAnsi="Times New Roman"/>
        </w:rPr>
        <w:t xml:space="preserve">] and the Peter P. Dhillon Centre for Business Ethics. We would like to thank </w:t>
      </w:r>
      <w:proofErr w:type="spellStart"/>
      <w:r w:rsidRPr="00CB5D4B">
        <w:rPr>
          <w:rFonts w:ascii="Times New Roman" w:hAnsi="Times New Roman"/>
        </w:rPr>
        <w:t>Kachi</w:t>
      </w:r>
      <w:proofErr w:type="spellEnd"/>
      <w:r w:rsidRPr="00CB5D4B">
        <w:rPr>
          <w:rFonts w:ascii="Times New Roman" w:hAnsi="Times New Roman"/>
        </w:rPr>
        <w:t xml:space="preserve"> </w:t>
      </w:r>
      <w:proofErr w:type="spellStart"/>
      <w:r w:rsidRPr="00CB5D4B">
        <w:rPr>
          <w:rFonts w:ascii="Times New Roman" w:hAnsi="Times New Roman"/>
        </w:rPr>
        <w:t>Ogbudibe</w:t>
      </w:r>
      <w:proofErr w:type="spellEnd"/>
      <w:r w:rsidRPr="00CB5D4B">
        <w:rPr>
          <w:rFonts w:ascii="Times New Roman" w:hAnsi="Times New Roman"/>
        </w:rPr>
        <w:t>, Olin Becker, and Tara Puri for their help with the manuscript</w:t>
      </w:r>
      <w:r>
        <w:rPr>
          <w:rFonts w:ascii="Times New Roman" w:hAnsi="Times New Roman"/>
        </w:rPr>
        <w:t>.</w:t>
      </w:r>
      <w:r>
        <w:rPr>
          <w:b/>
          <w:bCs/>
          <w:lang w:val="en-US"/>
        </w:rPr>
        <w:br w:type="page"/>
      </w:r>
    </w:p>
    <w:p w14:paraId="435B389B" w14:textId="020A6BBA" w:rsidR="00560527" w:rsidRPr="00D16B79" w:rsidRDefault="007E2FE9" w:rsidP="001A7316">
      <w:pPr>
        <w:spacing w:line="480" w:lineRule="auto"/>
        <w:jc w:val="center"/>
        <w:rPr>
          <w:b/>
          <w:bCs/>
          <w:lang w:val="en-US"/>
        </w:rPr>
      </w:pPr>
      <w:r w:rsidRPr="00D16B79">
        <w:rPr>
          <w:b/>
          <w:bCs/>
          <w:lang w:val="en-US"/>
        </w:rPr>
        <w:lastRenderedPageBreak/>
        <w:t xml:space="preserve"> </w:t>
      </w:r>
      <w:r w:rsidR="009632DA" w:rsidRPr="00D16B79">
        <w:rPr>
          <w:b/>
          <w:bCs/>
          <w:lang w:val="en-US"/>
        </w:rPr>
        <w:t xml:space="preserve"> </w:t>
      </w:r>
      <w:r w:rsidR="007F1EF6" w:rsidRPr="00D16B79">
        <w:rPr>
          <w:b/>
          <w:bCs/>
          <w:lang w:val="en-US"/>
        </w:rPr>
        <w:t xml:space="preserve">  </w:t>
      </w:r>
    </w:p>
    <w:p w14:paraId="36D29E13" w14:textId="45C36DEF" w:rsidR="00E473EF" w:rsidRPr="00D16B79" w:rsidRDefault="00E473EF" w:rsidP="00F55739">
      <w:pPr>
        <w:pStyle w:val="Heading1"/>
      </w:pPr>
      <w:r w:rsidRPr="00D16B79">
        <w:t>ABSTRACT</w:t>
      </w:r>
    </w:p>
    <w:p w14:paraId="213B52D3" w14:textId="77777777" w:rsidR="002F1DEA" w:rsidRPr="00D16B79" w:rsidRDefault="002F1DEA" w:rsidP="002B3FC2">
      <w:pPr>
        <w:spacing w:line="480" w:lineRule="auto"/>
        <w:ind w:firstLine="720"/>
        <w:rPr>
          <w:lang w:val="en-US"/>
        </w:rPr>
      </w:pPr>
    </w:p>
    <w:p w14:paraId="3C5B142E" w14:textId="23BE84D5" w:rsidR="00E473EF" w:rsidRPr="00D16B79" w:rsidRDefault="00C063BD" w:rsidP="002B3FC2">
      <w:pPr>
        <w:spacing w:line="480" w:lineRule="auto"/>
        <w:ind w:firstLine="720"/>
        <w:rPr>
          <w:lang w:val="en-US"/>
        </w:rPr>
      </w:pPr>
      <w:r>
        <w:rPr>
          <w:lang w:val="en-US"/>
        </w:rPr>
        <w:t>Charitable donations can be influenced by the</w:t>
      </w:r>
      <w:r w:rsidR="00EE5C25">
        <w:rPr>
          <w:lang w:val="en-US"/>
        </w:rPr>
        <w:t xml:space="preserve"> level of progress of a cause towards its fundraising goal</w:t>
      </w:r>
      <w:r w:rsidR="009D6B91" w:rsidRPr="00D16B79">
        <w:rPr>
          <w:lang w:val="en-US"/>
        </w:rPr>
        <w:t xml:space="preserve">. </w:t>
      </w:r>
      <w:r w:rsidR="00CA4BA6" w:rsidRPr="00D16B79">
        <w:rPr>
          <w:lang w:val="en-US"/>
        </w:rPr>
        <w:t xml:space="preserve">The </w:t>
      </w:r>
      <w:r w:rsidR="009D6B91" w:rsidRPr="00D16B79">
        <w:rPr>
          <w:lang w:val="en-US"/>
        </w:rPr>
        <w:t>current work</w:t>
      </w:r>
      <w:r w:rsidR="00344E8A" w:rsidRPr="00D16B79">
        <w:rPr>
          <w:lang w:val="en-US"/>
        </w:rPr>
        <w:t xml:space="preserve"> </w:t>
      </w:r>
      <w:r w:rsidR="00E75CAA">
        <w:rPr>
          <w:lang w:val="en-US"/>
        </w:rPr>
        <w:t>demonstrates</w:t>
      </w:r>
      <w:r w:rsidR="00E85984" w:rsidRPr="00D16B79">
        <w:rPr>
          <w:lang w:val="en-US"/>
        </w:rPr>
        <w:t xml:space="preserve"> </w:t>
      </w:r>
      <w:r w:rsidR="00CA4BA6" w:rsidRPr="00D16B79">
        <w:rPr>
          <w:lang w:val="en-US"/>
        </w:rPr>
        <w:t xml:space="preserve">how </w:t>
      </w:r>
      <w:r w:rsidR="00025DDA">
        <w:rPr>
          <w:lang w:val="en-US"/>
        </w:rPr>
        <w:t xml:space="preserve">jointly </w:t>
      </w:r>
      <w:r w:rsidR="00CA4BA6" w:rsidRPr="00D16B79">
        <w:rPr>
          <w:lang w:val="en-US"/>
        </w:rPr>
        <w:t xml:space="preserve">considering more than one </w:t>
      </w:r>
      <w:r w:rsidR="00176E0E">
        <w:rPr>
          <w:lang w:val="en-US"/>
        </w:rPr>
        <w:t>charitable</w:t>
      </w:r>
      <w:r w:rsidR="00E75CAA">
        <w:rPr>
          <w:lang w:val="en-US"/>
        </w:rPr>
        <w:t xml:space="preserve"> cause</w:t>
      </w:r>
      <w:r w:rsidR="00B43B28">
        <w:rPr>
          <w:lang w:val="en-US"/>
        </w:rPr>
        <w:t xml:space="preserve"> along with </w:t>
      </w:r>
      <w:r w:rsidR="00025DDA">
        <w:rPr>
          <w:lang w:val="en-US"/>
        </w:rPr>
        <w:t xml:space="preserve">their </w:t>
      </w:r>
      <w:r w:rsidR="00B43B28">
        <w:rPr>
          <w:lang w:val="en-US"/>
        </w:rPr>
        <w:t>goal progress information</w:t>
      </w:r>
      <w:r w:rsidR="00E75CAA">
        <w:rPr>
          <w:lang w:val="en-US"/>
        </w:rPr>
        <w:t xml:space="preserve"> </w:t>
      </w:r>
      <w:r w:rsidR="00CA4BA6" w:rsidRPr="00D16B79">
        <w:rPr>
          <w:lang w:val="en-US"/>
        </w:rPr>
        <w:t xml:space="preserve">shifts consumers’ donation decisions. </w:t>
      </w:r>
      <w:r w:rsidR="00D43F22" w:rsidRPr="00D16B79">
        <w:rPr>
          <w:lang w:val="en-US"/>
        </w:rPr>
        <w:t>W</w:t>
      </w:r>
      <w:r w:rsidR="00F57ACF" w:rsidRPr="00D16B79">
        <w:rPr>
          <w:lang w:val="en-US"/>
        </w:rPr>
        <w:t xml:space="preserve">hen </w:t>
      </w:r>
      <w:r w:rsidR="00E57F35" w:rsidRPr="00D16B79">
        <w:rPr>
          <w:lang w:val="en-US"/>
        </w:rPr>
        <w:t xml:space="preserve">charitable </w:t>
      </w:r>
      <w:r w:rsidR="001B623A" w:rsidRPr="00D16B79">
        <w:rPr>
          <w:lang w:val="en-US"/>
        </w:rPr>
        <w:t>causes</w:t>
      </w:r>
      <w:r w:rsidR="009525A6" w:rsidRPr="00D16B79">
        <w:rPr>
          <w:lang w:val="en-US"/>
        </w:rPr>
        <w:t xml:space="preserve"> are </w:t>
      </w:r>
      <w:r w:rsidR="00223208" w:rsidRPr="00D16B79">
        <w:rPr>
          <w:lang w:val="en-US"/>
        </w:rPr>
        <w:t>evaluated</w:t>
      </w:r>
      <w:r w:rsidR="009525A6" w:rsidRPr="00D16B79">
        <w:rPr>
          <w:lang w:val="en-US"/>
        </w:rPr>
        <w:t xml:space="preserve"> jointly</w:t>
      </w:r>
      <w:r w:rsidR="00E85984" w:rsidRPr="00D16B79">
        <w:rPr>
          <w:lang w:val="en-US"/>
        </w:rPr>
        <w:t xml:space="preserve"> (vs. separately)</w:t>
      </w:r>
      <w:r w:rsidR="00EB6B5C" w:rsidRPr="00D16B79">
        <w:rPr>
          <w:lang w:val="en-US"/>
        </w:rPr>
        <w:t>,</w:t>
      </w:r>
      <w:r w:rsidR="009525A6" w:rsidRPr="00D16B79">
        <w:rPr>
          <w:lang w:val="en-US"/>
        </w:rPr>
        <w:t xml:space="preserve"> the comparison </w:t>
      </w:r>
      <w:r w:rsidR="00870FCE">
        <w:rPr>
          <w:lang w:val="en-US"/>
        </w:rPr>
        <w:t>makes</w:t>
      </w:r>
      <w:r w:rsidR="009525A6" w:rsidRPr="00D16B79">
        <w:rPr>
          <w:lang w:val="en-US"/>
        </w:rPr>
        <w:t xml:space="preserve"> </w:t>
      </w:r>
      <w:r w:rsidR="00F57ACF" w:rsidRPr="00D16B79">
        <w:rPr>
          <w:lang w:val="en-US"/>
        </w:rPr>
        <w:t>relative need</w:t>
      </w:r>
      <w:r w:rsidR="00CC61EE" w:rsidRPr="00D16B79">
        <w:rPr>
          <w:lang w:val="en-US"/>
        </w:rPr>
        <w:t xml:space="preserve"> for help</w:t>
      </w:r>
      <w:r w:rsidR="00870FCE">
        <w:rPr>
          <w:lang w:val="en-US"/>
        </w:rPr>
        <w:t xml:space="preserve"> more salient and easier to evaluate</w:t>
      </w:r>
      <w:r w:rsidR="00395D85" w:rsidRPr="00D16B79">
        <w:rPr>
          <w:lang w:val="en-US"/>
        </w:rPr>
        <w:t>,</w:t>
      </w:r>
      <w:r w:rsidR="009525A6" w:rsidRPr="00D16B79">
        <w:rPr>
          <w:lang w:val="en-US"/>
        </w:rPr>
        <w:t xml:space="preserve"> leading to greater giving to the </w:t>
      </w:r>
      <w:r w:rsidR="00176E0E">
        <w:rPr>
          <w:lang w:val="en-US"/>
        </w:rPr>
        <w:t>cause</w:t>
      </w:r>
      <w:r w:rsidR="00E57F35" w:rsidRPr="00D16B79">
        <w:rPr>
          <w:lang w:val="en-US"/>
        </w:rPr>
        <w:t xml:space="preserve"> </w:t>
      </w:r>
      <w:r w:rsidR="003C404E" w:rsidRPr="00D16B79">
        <w:rPr>
          <w:lang w:val="en-US"/>
        </w:rPr>
        <w:t>farther</w:t>
      </w:r>
      <w:r w:rsidR="009525A6" w:rsidRPr="00D16B79">
        <w:rPr>
          <w:lang w:val="en-US"/>
        </w:rPr>
        <w:t xml:space="preserve"> from its goal.</w:t>
      </w:r>
      <w:r w:rsidR="00344E8A" w:rsidRPr="00D16B79">
        <w:rPr>
          <w:lang w:val="en-US"/>
        </w:rPr>
        <w:t xml:space="preserve"> </w:t>
      </w:r>
      <w:r w:rsidR="002229D7" w:rsidRPr="00D16B79">
        <w:rPr>
          <w:lang w:val="en-US"/>
        </w:rPr>
        <w:t>A multi-method investigation</w:t>
      </w:r>
      <w:r w:rsidR="00780F1E">
        <w:rPr>
          <w:lang w:val="en-US"/>
        </w:rPr>
        <w:t>,</w:t>
      </w:r>
      <w:r w:rsidR="002229D7" w:rsidRPr="00D16B79">
        <w:rPr>
          <w:lang w:val="en-US"/>
        </w:rPr>
        <w:t xml:space="preserve"> involving s</w:t>
      </w:r>
      <w:r w:rsidR="0065234A" w:rsidRPr="00D16B79">
        <w:rPr>
          <w:lang w:val="en-US"/>
        </w:rPr>
        <w:t>ix</w:t>
      </w:r>
      <w:r w:rsidR="00050F57" w:rsidRPr="00D16B79">
        <w:rPr>
          <w:lang w:val="en-US"/>
        </w:rPr>
        <w:t xml:space="preserve"> </w:t>
      </w:r>
      <w:r w:rsidR="00F832B9" w:rsidRPr="00D16B79">
        <w:rPr>
          <w:lang w:val="en-US"/>
        </w:rPr>
        <w:t>pre</w:t>
      </w:r>
      <w:r w:rsidR="001C56E3" w:rsidRPr="00D16B79">
        <w:rPr>
          <w:lang w:val="en-US"/>
        </w:rPr>
        <w:t>-</w:t>
      </w:r>
      <w:r w:rsidR="00F832B9" w:rsidRPr="00D16B79">
        <w:rPr>
          <w:lang w:val="en-US"/>
        </w:rPr>
        <w:t xml:space="preserve">registered </w:t>
      </w:r>
      <w:r w:rsidR="008E2771" w:rsidRPr="00D16B79">
        <w:rPr>
          <w:lang w:val="en-US"/>
        </w:rPr>
        <w:t>experimental studies</w:t>
      </w:r>
      <w:r w:rsidR="00957212" w:rsidRPr="00D16B79">
        <w:rPr>
          <w:lang w:val="en-US"/>
        </w:rPr>
        <w:t xml:space="preserve">, </w:t>
      </w:r>
      <w:r w:rsidR="0065234A" w:rsidRPr="00D16B79">
        <w:rPr>
          <w:lang w:val="en-US"/>
        </w:rPr>
        <w:t>seven</w:t>
      </w:r>
      <w:r w:rsidR="00050F57" w:rsidRPr="00D16B79">
        <w:rPr>
          <w:lang w:val="en-US"/>
        </w:rPr>
        <w:t xml:space="preserve"> </w:t>
      </w:r>
      <w:r w:rsidR="00957212" w:rsidRPr="00D16B79">
        <w:rPr>
          <w:lang w:val="en-US"/>
        </w:rPr>
        <w:t>supplementa</w:t>
      </w:r>
      <w:r w:rsidR="0066037E" w:rsidRPr="00D16B79">
        <w:rPr>
          <w:lang w:val="en-US"/>
        </w:rPr>
        <w:t>l</w:t>
      </w:r>
      <w:r w:rsidR="00957212" w:rsidRPr="00D16B79">
        <w:rPr>
          <w:lang w:val="en-US"/>
        </w:rPr>
        <w:t xml:space="preserve"> studies</w:t>
      </w:r>
      <w:r w:rsidR="009D6B91" w:rsidRPr="00D16B79">
        <w:rPr>
          <w:lang w:val="en-US"/>
        </w:rPr>
        <w:t>,</w:t>
      </w:r>
      <w:r w:rsidR="00957212" w:rsidRPr="00D16B79">
        <w:rPr>
          <w:lang w:val="en-US"/>
        </w:rPr>
        <w:t xml:space="preserve"> and </w:t>
      </w:r>
      <w:r w:rsidR="00696C41" w:rsidRPr="00D16B79">
        <w:rPr>
          <w:lang w:val="en-US"/>
        </w:rPr>
        <w:t xml:space="preserve">a large </w:t>
      </w:r>
      <w:r w:rsidR="00E85984" w:rsidRPr="00D16B79">
        <w:rPr>
          <w:lang w:val="en-US"/>
        </w:rPr>
        <w:t xml:space="preserve">secondary </w:t>
      </w:r>
      <w:r w:rsidR="00696C41" w:rsidRPr="00D16B79">
        <w:rPr>
          <w:lang w:val="en-US"/>
        </w:rPr>
        <w:t xml:space="preserve">dataset </w:t>
      </w:r>
      <w:r w:rsidR="002229D7" w:rsidRPr="00D16B79">
        <w:rPr>
          <w:lang w:val="en-US"/>
        </w:rPr>
        <w:t xml:space="preserve">with over 10,000 projects </w:t>
      </w:r>
      <w:r w:rsidR="00696C41" w:rsidRPr="00D16B79">
        <w:rPr>
          <w:lang w:val="en-US"/>
        </w:rPr>
        <w:t>from a micro-crowdfunding platform</w:t>
      </w:r>
      <w:r w:rsidR="00780F1E">
        <w:rPr>
          <w:lang w:val="en-US"/>
        </w:rPr>
        <w:t>,</w:t>
      </w:r>
      <w:r w:rsidR="00696C41" w:rsidRPr="00D16B79">
        <w:rPr>
          <w:lang w:val="en-US"/>
        </w:rPr>
        <w:t xml:space="preserve"> provide</w:t>
      </w:r>
      <w:r w:rsidR="00E75CAA">
        <w:rPr>
          <w:lang w:val="en-US"/>
        </w:rPr>
        <w:t>s</w:t>
      </w:r>
      <w:r w:rsidR="00696C41" w:rsidRPr="00D16B79">
        <w:rPr>
          <w:lang w:val="en-US"/>
        </w:rPr>
        <w:t xml:space="preserve"> </w:t>
      </w:r>
      <w:r w:rsidR="008E2771" w:rsidRPr="00D16B79">
        <w:rPr>
          <w:lang w:val="en-US"/>
        </w:rPr>
        <w:t xml:space="preserve">evidence </w:t>
      </w:r>
      <w:r w:rsidR="00E85984" w:rsidRPr="00D16B79">
        <w:rPr>
          <w:lang w:val="en-US"/>
        </w:rPr>
        <w:t xml:space="preserve">for </w:t>
      </w:r>
      <w:r w:rsidR="008E2771" w:rsidRPr="00D16B79">
        <w:rPr>
          <w:lang w:val="en-US"/>
        </w:rPr>
        <w:t>this</w:t>
      </w:r>
      <w:r w:rsidR="00696C41" w:rsidRPr="00D16B79">
        <w:rPr>
          <w:lang w:val="en-US"/>
        </w:rPr>
        <w:t xml:space="preserve"> </w:t>
      </w:r>
      <w:r w:rsidR="00025DDA">
        <w:rPr>
          <w:lang w:val="en-US"/>
        </w:rPr>
        <w:t>phenomenon</w:t>
      </w:r>
      <w:r w:rsidR="002D772D" w:rsidRPr="00D16B79">
        <w:rPr>
          <w:lang w:val="en-US"/>
        </w:rPr>
        <w:t xml:space="preserve"> and</w:t>
      </w:r>
      <w:r w:rsidR="00A12E2D" w:rsidRPr="00D16B79">
        <w:rPr>
          <w:lang w:val="en-US"/>
        </w:rPr>
        <w:t xml:space="preserve"> demonstrate</w:t>
      </w:r>
      <w:r w:rsidR="00E75CAA">
        <w:rPr>
          <w:lang w:val="en-US"/>
        </w:rPr>
        <w:t>s</w:t>
      </w:r>
      <w:r w:rsidR="00A12E2D" w:rsidRPr="00D16B79">
        <w:rPr>
          <w:lang w:val="en-US"/>
        </w:rPr>
        <w:t xml:space="preserve"> </w:t>
      </w:r>
      <w:r w:rsidR="00C06553" w:rsidRPr="00D16B79">
        <w:rPr>
          <w:lang w:val="en-US"/>
        </w:rPr>
        <w:t xml:space="preserve">that </w:t>
      </w:r>
      <w:r w:rsidR="002229D7" w:rsidRPr="00D16B79">
        <w:rPr>
          <w:lang w:val="en-US"/>
        </w:rPr>
        <w:t>it</w:t>
      </w:r>
      <w:r w:rsidR="006A134D" w:rsidRPr="00D16B79">
        <w:rPr>
          <w:lang w:val="en-US"/>
        </w:rPr>
        <w:t xml:space="preserve"> is robust to</w:t>
      </w:r>
      <w:r w:rsidR="00E8580F" w:rsidRPr="00D16B79">
        <w:rPr>
          <w:lang w:val="en-US"/>
        </w:rPr>
        <w:t xml:space="preserve"> </w:t>
      </w:r>
      <w:r w:rsidR="00F57ACF" w:rsidRPr="00D16B79">
        <w:rPr>
          <w:lang w:val="en-US"/>
        </w:rPr>
        <w:t xml:space="preserve">variations in the </w:t>
      </w:r>
      <w:r w:rsidR="001B623A" w:rsidRPr="00D16B79">
        <w:rPr>
          <w:lang w:val="en-US"/>
        </w:rPr>
        <w:t>type of cause</w:t>
      </w:r>
      <w:r w:rsidR="00E8580F" w:rsidRPr="00D16B79">
        <w:rPr>
          <w:lang w:val="en-US"/>
        </w:rPr>
        <w:t>,</w:t>
      </w:r>
      <w:r w:rsidR="002D65A6" w:rsidRPr="00D16B79">
        <w:rPr>
          <w:lang w:val="en-US"/>
        </w:rPr>
        <w:t xml:space="preserve"> </w:t>
      </w:r>
      <w:r w:rsidR="002F1DEA" w:rsidRPr="00D16B79">
        <w:rPr>
          <w:lang w:val="en-US"/>
        </w:rPr>
        <w:t>number of projects</w:t>
      </w:r>
      <w:r w:rsidR="005647FC" w:rsidRPr="00D16B79">
        <w:rPr>
          <w:lang w:val="en-US"/>
        </w:rPr>
        <w:t>,</w:t>
      </w:r>
      <w:r w:rsidR="00821974" w:rsidRPr="00D16B79">
        <w:rPr>
          <w:lang w:val="en-US"/>
        </w:rPr>
        <w:t xml:space="preserve"> and</w:t>
      </w:r>
      <w:r w:rsidR="00E8580F" w:rsidRPr="00D16B79">
        <w:rPr>
          <w:lang w:val="en-US"/>
        </w:rPr>
        <w:t xml:space="preserve"> </w:t>
      </w:r>
      <w:r w:rsidR="00780F1E">
        <w:rPr>
          <w:lang w:val="en-US"/>
        </w:rPr>
        <w:t>the</w:t>
      </w:r>
      <w:r w:rsidR="00E8580F" w:rsidRPr="00D16B79">
        <w:rPr>
          <w:lang w:val="en-US"/>
        </w:rPr>
        <w:t xml:space="preserve"> donor </w:t>
      </w:r>
      <w:r w:rsidR="00780F1E">
        <w:rPr>
          <w:lang w:val="en-US"/>
        </w:rPr>
        <w:t xml:space="preserve">being able </w:t>
      </w:r>
      <w:r w:rsidR="00E8580F" w:rsidRPr="00D16B79">
        <w:rPr>
          <w:lang w:val="en-US"/>
        </w:rPr>
        <w:t xml:space="preserve">to </w:t>
      </w:r>
      <w:r w:rsidR="00AB4843" w:rsidRPr="00D16B79">
        <w:rPr>
          <w:lang w:val="en-US"/>
        </w:rPr>
        <w:t xml:space="preserve">personally </w:t>
      </w:r>
      <w:r w:rsidR="00E8580F" w:rsidRPr="00D16B79">
        <w:rPr>
          <w:lang w:val="en-US"/>
        </w:rPr>
        <w:t xml:space="preserve">complete the goal. </w:t>
      </w:r>
      <w:r w:rsidR="00F40042" w:rsidRPr="00D16B79">
        <w:rPr>
          <w:lang w:val="en-US"/>
        </w:rPr>
        <w:t xml:space="preserve">Conversely, </w:t>
      </w:r>
      <w:r w:rsidR="00A12E2D" w:rsidRPr="00D16B79">
        <w:rPr>
          <w:lang w:val="en-US"/>
        </w:rPr>
        <w:t>th</w:t>
      </w:r>
      <w:r w:rsidR="00025DDA">
        <w:rPr>
          <w:lang w:val="en-US"/>
        </w:rPr>
        <w:t>e</w:t>
      </w:r>
      <w:r w:rsidR="00A12E2D" w:rsidRPr="00D16B79">
        <w:rPr>
          <w:lang w:val="en-US"/>
        </w:rPr>
        <w:t xml:space="preserve"> </w:t>
      </w:r>
      <w:r w:rsidR="00F40042" w:rsidRPr="00D16B79">
        <w:rPr>
          <w:lang w:val="en-US"/>
        </w:rPr>
        <w:t xml:space="preserve">effect is eliminated or reversed when </w:t>
      </w:r>
      <w:r w:rsidR="00CC2A18" w:rsidRPr="00D16B79">
        <w:rPr>
          <w:lang w:val="en-US"/>
        </w:rPr>
        <w:t>charities</w:t>
      </w:r>
      <w:r w:rsidR="00344E8A" w:rsidRPr="00D16B79">
        <w:rPr>
          <w:lang w:val="en-US"/>
        </w:rPr>
        <w:t xml:space="preserve"> are evaluated </w:t>
      </w:r>
      <w:r w:rsidR="00F40042" w:rsidRPr="00D16B79">
        <w:rPr>
          <w:lang w:val="en-US"/>
        </w:rPr>
        <w:t>separately</w:t>
      </w:r>
      <w:r w:rsidR="00E8070B" w:rsidRPr="00D16B79">
        <w:rPr>
          <w:lang w:val="en-US"/>
        </w:rPr>
        <w:t xml:space="preserve"> (as relative need</w:t>
      </w:r>
      <w:r w:rsidR="00CC61EE" w:rsidRPr="00D16B79">
        <w:rPr>
          <w:lang w:val="en-US"/>
        </w:rPr>
        <w:t xml:space="preserve"> for help</w:t>
      </w:r>
      <w:r w:rsidR="00E8070B" w:rsidRPr="00D16B79">
        <w:rPr>
          <w:lang w:val="en-US"/>
        </w:rPr>
        <w:t xml:space="preserve"> is less salient)</w:t>
      </w:r>
      <w:r w:rsidR="006F51CB" w:rsidRPr="00D16B79">
        <w:rPr>
          <w:lang w:val="en-US"/>
        </w:rPr>
        <w:t xml:space="preserve">, when the gap between charities is smaller (as perceptions of </w:t>
      </w:r>
      <w:r w:rsidR="00025DDA">
        <w:rPr>
          <w:lang w:val="en-US"/>
        </w:rPr>
        <w:t xml:space="preserve">relative </w:t>
      </w:r>
      <w:r w:rsidR="006F51CB" w:rsidRPr="00D16B79">
        <w:rPr>
          <w:lang w:val="en-US"/>
        </w:rPr>
        <w:t xml:space="preserve">need for help </w:t>
      </w:r>
      <w:r w:rsidR="003278F8">
        <w:rPr>
          <w:lang w:val="en-US"/>
        </w:rPr>
        <w:t>are</w:t>
      </w:r>
      <w:r w:rsidR="003278F8" w:rsidRPr="00D16B79">
        <w:rPr>
          <w:lang w:val="en-US"/>
        </w:rPr>
        <w:t xml:space="preserve"> </w:t>
      </w:r>
      <w:r w:rsidR="006F51CB" w:rsidRPr="00D16B79">
        <w:rPr>
          <w:lang w:val="en-US"/>
        </w:rPr>
        <w:t>diminished),</w:t>
      </w:r>
      <w:r w:rsidR="00E8580F" w:rsidRPr="00D16B79">
        <w:rPr>
          <w:lang w:val="en-US"/>
        </w:rPr>
        <w:t xml:space="preserve"> </w:t>
      </w:r>
      <w:r w:rsidR="00F40042" w:rsidRPr="00D16B79">
        <w:rPr>
          <w:lang w:val="en-US"/>
        </w:rPr>
        <w:t>or</w:t>
      </w:r>
      <w:r w:rsidR="008F380A" w:rsidRPr="00D16B79">
        <w:rPr>
          <w:lang w:val="en-US"/>
        </w:rPr>
        <w:t xml:space="preserve"> when </w:t>
      </w:r>
      <w:r w:rsidR="003117F2" w:rsidRPr="00D16B79">
        <w:rPr>
          <w:lang w:val="en-US"/>
        </w:rPr>
        <w:t xml:space="preserve">for-profit </w:t>
      </w:r>
      <w:r w:rsidR="008F380A" w:rsidRPr="00D16B79">
        <w:rPr>
          <w:lang w:val="en-US"/>
        </w:rPr>
        <w:t>business</w:t>
      </w:r>
      <w:r w:rsidR="00025DDA">
        <w:rPr>
          <w:lang w:val="en-US"/>
        </w:rPr>
        <w:t>es</w:t>
      </w:r>
      <w:r w:rsidR="003117F2" w:rsidRPr="00D16B79">
        <w:rPr>
          <w:lang w:val="en-US"/>
        </w:rPr>
        <w:t xml:space="preserve"> </w:t>
      </w:r>
      <w:r w:rsidR="00025DDA">
        <w:rPr>
          <w:lang w:val="en-US"/>
        </w:rPr>
        <w:t>are</w:t>
      </w:r>
      <w:r w:rsidR="00025DDA" w:rsidRPr="00D16B79">
        <w:rPr>
          <w:lang w:val="en-US"/>
        </w:rPr>
        <w:t xml:space="preserve"> </w:t>
      </w:r>
      <w:r w:rsidR="008F380A" w:rsidRPr="00D16B79">
        <w:rPr>
          <w:lang w:val="en-US"/>
        </w:rPr>
        <w:t>evaluated</w:t>
      </w:r>
      <w:r w:rsidR="000A1A5B" w:rsidRPr="00D16B79">
        <w:rPr>
          <w:lang w:val="en-US"/>
        </w:rPr>
        <w:t xml:space="preserve"> (as the context does not heighten sensitivity to need)</w:t>
      </w:r>
      <w:r w:rsidR="008E2771" w:rsidRPr="00D16B79">
        <w:rPr>
          <w:lang w:val="en-US"/>
        </w:rPr>
        <w:t xml:space="preserve">. </w:t>
      </w:r>
      <w:r w:rsidR="001518B4" w:rsidRPr="00D16B79">
        <w:rPr>
          <w:lang w:val="en-US"/>
        </w:rPr>
        <w:t>This work contributes to research on goal</w:t>
      </w:r>
      <w:r w:rsidR="00B41D97" w:rsidRPr="00D16B79">
        <w:rPr>
          <w:lang w:val="en-US"/>
        </w:rPr>
        <w:t xml:space="preserve"> progress </w:t>
      </w:r>
      <w:r w:rsidR="001518B4" w:rsidRPr="00D16B79">
        <w:rPr>
          <w:lang w:val="en-US"/>
        </w:rPr>
        <w:t xml:space="preserve">and evaluation mode and has implications for charitable giving </w:t>
      </w:r>
      <w:r w:rsidR="00E8580F" w:rsidRPr="00D16B79">
        <w:rPr>
          <w:lang w:val="en-US"/>
        </w:rPr>
        <w:t>in</w:t>
      </w:r>
      <w:r w:rsidR="001518B4" w:rsidRPr="00D16B79">
        <w:rPr>
          <w:lang w:val="en-US"/>
        </w:rPr>
        <w:t xml:space="preserve"> </w:t>
      </w:r>
      <w:r w:rsidR="00B63CEF" w:rsidRPr="00D16B79">
        <w:rPr>
          <w:lang w:val="en-US"/>
        </w:rPr>
        <w:t xml:space="preserve">comparative contexts </w:t>
      </w:r>
      <w:r w:rsidR="00B4122D" w:rsidRPr="00D16B79">
        <w:rPr>
          <w:lang w:val="en-US"/>
        </w:rPr>
        <w:t>like</w:t>
      </w:r>
      <w:r w:rsidR="00B63CEF" w:rsidRPr="00D16B79">
        <w:rPr>
          <w:lang w:val="en-US"/>
        </w:rPr>
        <w:t xml:space="preserve"> crowdfunding</w:t>
      </w:r>
      <w:r w:rsidR="001518B4" w:rsidRPr="00D16B79">
        <w:rPr>
          <w:lang w:val="en-US"/>
        </w:rPr>
        <w:t>.</w:t>
      </w:r>
    </w:p>
    <w:p w14:paraId="02324D09" w14:textId="77777777" w:rsidR="0076403C" w:rsidRPr="00D16B79" w:rsidRDefault="0076403C" w:rsidP="004F51F4">
      <w:pPr>
        <w:spacing w:line="480" w:lineRule="auto"/>
        <w:jc w:val="center"/>
        <w:rPr>
          <w:lang w:val="en-US"/>
        </w:rPr>
      </w:pPr>
    </w:p>
    <w:p w14:paraId="4E426D61" w14:textId="68BE9B1C" w:rsidR="00E473EF" w:rsidRPr="00D16B79" w:rsidRDefault="00E473EF" w:rsidP="004F51F4">
      <w:pPr>
        <w:spacing w:line="480" w:lineRule="auto"/>
        <w:rPr>
          <w:lang w:val="en-US"/>
        </w:rPr>
      </w:pPr>
      <w:r w:rsidRPr="00D16B79">
        <w:rPr>
          <w:i/>
          <w:iCs/>
          <w:lang w:val="en-US"/>
        </w:rPr>
        <w:t>Keywords:</w:t>
      </w:r>
      <w:r w:rsidRPr="00D16B79">
        <w:rPr>
          <w:lang w:val="en-US"/>
        </w:rPr>
        <w:t xml:space="preserve"> </w:t>
      </w:r>
      <w:r w:rsidR="000E0359" w:rsidRPr="00D16B79">
        <w:rPr>
          <w:lang w:val="en-US"/>
        </w:rPr>
        <w:t xml:space="preserve">Crowdfunding, </w:t>
      </w:r>
      <w:r w:rsidR="007E46FF" w:rsidRPr="00D16B79">
        <w:rPr>
          <w:lang w:val="en-US"/>
        </w:rPr>
        <w:t xml:space="preserve">Evaluation Mode, </w:t>
      </w:r>
      <w:r w:rsidR="00A67E8D">
        <w:rPr>
          <w:lang w:val="en-US"/>
        </w:rPr>
        <w:t xml:space="preserve">Joint evaluation, </w:t>
      </w:r>
      <w:r w:rsidR="007E46FF" w:rsidRPr="00D16B79">
        <w:rPr>
          <w:lang w:val="en-US"/>
        </w:rPr>
        <w:t>Goal Gradient Hypothesis</w:t>
      </w:r>
      <w:r w:rsidR="000E0359" w:rsidRPr="00D16B79">
        <w:rPr>
          <w:lang w:val="en-US"/>
        </w:rPr>
        <w:t xml:space="preserve">, </w:t>
      </w:r>
      <w:r w:rsidR="007E46FF" w:rsidRPr="00D16B79">
        <w:rPr>
          <w:lang w:val="en-US"/>
        </w:rPr>
        <w:t>Charitable Giving</w:t>
      </w:r>
      <w:r w:rsidRPr="00D16B79">
        <w:rPr>
          <w:lang w:val="en-US"/>
        </w:rPr>
        <w:br w:type="page"/>
      </w:r>
    </w:p>
    <w:p w14:paraId="47336F8B" w14:textId="77777777" w:rsidR="00B77874" w:rsidRPr="00D16B79" w:rsidRDefault="00B77874" w:rsidP="00B77874">
      <w:pPr>
        <w:spacing w:line="480" w:lineRule="auto"/>
        <w:jc w:val="center"/>
        <w:rPr>
          <w:b/>
          <w:bCs/>
          <w:lang w:val="en-US"/>
        </w:rPr>
      </w:pPr>
      <w:bookmarkStart w:id="1" w:name="_Hlk164787204"/>
      <w:r w:rsidRPr="00D16B79">
        <w:rPr>
          <w:b/>
          <w:bCs/>
          <w:lang w:val="en-US"/>
        </w:rPr>
        <w:lastRenderedPageBreak/>
        <w:t>The Closing-the-Gap Effect:</w:t>
      </w:r>
    </w:p>
    <w:p w14:paraId="1B4B02CC" w14:textId="77777777" w:rsidR="00B77874" w:rsidRPr="00D16B79" w:rsidRDefault="00B77874" w:rsidP="00B77874">
      <w:pPr>
        <w:spacing w:line="480" w:lineRule="auto"/>
        <w:jc w:val="center"/>
        <w:rPr>
          <w:b/>
          <w:bCs/>
          <w:lang w:val="en-US"/>
        </w:rPr>
      </w:pPr>
      <w:r>
        <w:rPr>
          <w:b/>
          <w:bCs/>
          <w:lang w:val="en-US"/>
        </w:rPr>
        <w:t>Joint Evaluation Leads Donors to Help Charities Farther from Their Goal</w:t>
      </w:r>
      <w:r w:rsidRPr="00D16B79">
        <w:rPr>
          <w:b/>
          <w:bCs/>
          <w:lang w:val="en-US"/>
        </w:rPr>
        <w:t xml:space="preserve"> </w:t>
      </w:r>
    </w:p>
    <w:bookmarkEnd w:id="1"/>
    <w:p w14:paraId="104521EE" w14:textId="77777777" w:rsidR="00B77874" w:rsidRDefault="00B77874" w:rsidP="005865EF">
      <w:pPr>
        <w:spacing w:line="480" w:lineRule="auto"/>
        <w:ind w:firstLine="720"/>
        <w:rPr>
          <w:lang w:val="en-US"/>
        </w:rPr>
      </w:pPr>
    </w:p>
    <w:p w14:paraId="7A020708" w14:textId="01576187" w:rsidR="00BF3576" w:rsidRPr="00D16B79" w:rsidRDefault="00A90078" w:rsidP="005865EF">
      <w:pPr>
        <w:spacing w:line="480" w:lineRule="auto"/>
        <w:ind w:firstLine="720"/>
        <w:rPr>
          <w:lang w:val="en-US"/>
        </w:rPr>
      </w:pPr>
      <w:r w:rsidRPr="00D16B79">
        <w:rPr>
          <w:lang w:val="en-US"/>
        </w:rPr>
        <w:t>Imagine navigating a</w:t>
      </w:r>
      <w:r w:rsidR="00920E3A" w:rsidRPr="00D16B79">
        <w:rPr>
          <w:lang w:val="en-US"/>
        </w:rPr>
        <w:t xml:space="preserve"> </w:t>
      </w:r>
      <w:r w:rsidR="007968C2" w:rsidRPr="00D16B79">
        <w:rPr>
          <w:lang w:val="en-US"/>
        </w:rPr>
        <w:t xml:space="preserve">fundraising </w:t>
      </w:r>
      <w:r w:rsidRPr="00D16B79">
        <w:rPr>
          <w:lang w:val="en-US"/>
        </w:rPr>
        <w:t>website</w:t>
      </w:r>
      <w:r w:rsidR="00D43F22" w:rsidRPr="00D16B79">
        <w:rPr>
          <w:lang w:val="en-US"/>
        </w:rPr>
        <w:t>,</w:t>
      </w:r>
      <w:r w:rsidRPr="00D16B79">
        <w:rPr>
          <w:lang w:val="en-US"/>
        </w:rPr>
        <w:t xml:space="preserve"> looking at </w:t>
      </w:r>
      <w:r w:rsidR="00395D85" w:rsidRPr="00D16B79">
        <w:rPr>
          <w:lang w:val="en-US"/>
        </w:rPr>
        <w:t>charitable causes</w:t>
      </w:r>
      <w:r w:rsidR="00795B19" w:rsidRPr="00D16B79">
        <w:rPr>
          <w:lang w:val="en-US"/>
        </w:rPr>
        <w:t xml:space="preserve"> to potentially donate to</w:t>
      </w:r>
      <w:r w:rsidR="006F51CB" w:rsidRPr="00D16B79">
        <w:rPr>
          <w:lang w:val="en-US"/>
        </w:rPr>
        <w:t>, when y</w:t>
      </w:r>
      <w:r w:rsidR="007968C2" w:rsidRPr="00D16B79">
        <w:rPr>
          <w:lang w:val="en-US"/>
        </w:rPr>
        <w:t xml:space="preserve">ou come across two </w:t>
      </w:r>
      <w:r w:rsidR="004322EA" w:rsidRPr="00D16B79">
        <w:rPr>
          <w:lang w:val="en-US"/>
        </w:rPr>
        <w:t xml:space="preserve">similar </w:t>
      </w:r>
      <w:r w:rsidR="00940B18" w:rsidRPr="00D16B79">
        <w:rPr>
          <w:lang w:val="en-US"/>
        </w:rPr>
        <w:t>charities</w:t>
      </w:r>
      <w:r w:rsidR="00395D85" w:rsidRPr="00D16B79">
        <w:rPr>
          <w:lang w:val="en-US"/>
        </w:rPr>
        <w:t xml:space="preserve"> </w:t>
      </w:r>
      <w:r w:rsidR="004322EA" w:rsidRPr="00D16B79">
        <w:rPr>
          <w:lang w:val="en-US"/>
        </w:rPr>
        <w:t>that resonate with you. You note that</w:t>
      </w:r>
      <w:r w:rsidR="00940B18" w:rsidRPr="00D16B79">
        <w:rPr>
          <w:lang w:val="en-US"/>
        </w:rPr>
        <w:t xml:space="preserve"> o</w:t>
      </w:r>
      <w:r w:rsidR="007968C2" w:rsidRPr="00D16B79">
        <w:rPr>
          <w:lang w:val="en-US"/>
        </w:rPr>
        <w:t>ne is closer to its goal and has raised 90% of its target</w:t>
      </w:r>
      <w:r w:rsidR="00D43F22" w:rsidRPr="00D16B79">
        <w:rPr>
          <w:lang w:val="en-US"/>
        </w:rPr>
        <w:t>,</w:t>
      </w:r>
      <w:r w:rsidR="004322EA" w:rsidRPr="00D16B79">
        <w:rPr>
          <w:lang w:val="en-US"/>
        </w:rPr>
        <w:t xml:space="preserve"> while the other</w:t>
      </w:r>
      <w:r w:rsidR="007968C2" w:rsidRPr="00D16B79">
        <w:rPr>
          <w:lang w:val="en-US"/>
        </w:rPr>
        <w:t xml:space="preserve"> is </w:t>
      </w:r>
      <w:r w:rsidR="003C404E" w:rsidRPr="00D16B79">
        <w:rPr>
          <w:lang w:val="en-US"/>
        </w:rPr>
        <w:t>farther</w:t>
      </w:r>
      <w:r w:rsidR="007968C2" w:rsidRPr="00D16B79">
        <w:rPr>
          <w:lang w:val="en-US"/>
        </w:rPr>
        <w:t xml:space="preserve"> from its goal and has raised </w:t>
      </w:r>
      <w:r w:rsidR="003C5031" w:rsidRPr="00D16B79">
        <w:rPr>
          <w:lang w:val="en-US"/>
        </w:rPr>
        <w:t xml:space="preserve">only </w:t>
      </w:r>
      <w:r w:rsidR="007968C2" w:rsidRPr="00D16B79">
        <w:rPr>
          <w:lang w:val="en-US"/>
        </w:rPr>
        <w:t xml:space="preserve">10% of its target. </w:t>
      </w:r>
      <w:r w:rsidR="00025DDA">
        <w:rPr>
          <w:lang w:val="en-US"/>
        </w:rPr>
        <w:t>To which</w:t>
      </w:r>
      <w:r w:rsidR="00025DDA" w:rsidRPr="00D16B79">
        <w:rPr>
          <w:lang w:val="en-US"/>
        </w:rPr>
        <w:t xml:space="preserve"> </w:t>
      </w:r>
      <w:r w:rsidR="007968C2" w:rsidRPr="00D16B79">
        <w:rPr>
          <w:lang w:val="en-US"/>
        </w:rPr>
        <w:t xml:space="preserve">project would you donate? </w:t>
      </w:r>
      <w:r w:rsidR="00920E3A" w:rsidRPr="00D16B79">
        <w:rPr>
          <w:lang w:val="en-US"/>
        </w:rPr>
        <w:t xml:space="preserve">This research investigates how people make donation decisions when they </w:t>
      </w:r>
      <w:r w:rsidR="005527F8" w:rsidRPr="00D16B79">
        <w:rPr>
          <w:lang w:val="en-US"/>
        </w:rPr>
        <w:t xml:space="preserve">concurrently </w:t>
      </w:r>
      <w:r w:rsidR="00920E3A" w:rsidRPr="00D16B79">
        <w:rPr>
          <w:lang w:val="en-US"/>
        </w:rPr>
        <w:t xml:space="preserve">encounter </w:t>
      </w:r>
      <w:r w:rsidR="00CA31B7" w:rsidRPr="00D16B79">
        <w:rPr>
          <w:lang w:val="en-US"/>
        </w:rPr>
        <w:t xml:space="preserve">one or </w:t>
      </w:r>
      <w:r w:rsidR="00481FA6" w:rsidRPr="00D16B79">
        <w:rPr>
          <w:lang w:val="en-US"/>
        </w:rPr>
        <w:t xml:space="preserve">more </w:t>
      </w:r>
      <w:r w:rsidR="00CA31B7" w:rsidRPr="00D16B79">
        <w:rPr>
          <w:lang w:val="en-US"/>
        </w:rPr>
        <w:t xml:space="preserve">charities </w:t>
      </w:r>
      <w:r w:rsidR="00E57F35" w:rsidRPr="00D16B79">
        <w:rPr>
          <w:lang w:val="en-US"/>
        </w:rPr>
        <w:t>at varying distances</w:t>
      </w:r>
      <w:r w:rsidR="00CA31B7" w:rsidRPr="00D16B79">
        <w:rPr>
          <w:lang w:val="en-US"/>
        </w:rPr>
        <w:t xml:space="preserve"> </w:t>
      </w:r>
      <w:r w:rsidR="00920E3A" w:rsidRPr="00D16B79">
        <w:rPr>
          <w:lang w:val="en-US"/>
        </w:rPr>
        <w:t>from their goal</w:t>
      </w:r>
      <w:r w:rsidR="00395D85" w:rsidRPr="00D16B79">
        <w:rPr>
          <w:lang w:val="en-US"/>
        </w:rPr>
        <w:t>s</w:t>
      </w:r>
      <w:r w:rsidR="00920E3A" w:rsidRPr="00D16B79">
        <w:rPr>
          <w:lang w:val="en-US"/>
        </w:rPr>
        <w:t xml:space="preserve">. </w:t>
      </w:r>
      <w:r w:rsidR="00753FF2" w:rsidRPr="00D16B79">
        <w:rPr>
          <w:lang w:val="en-US"/>
        </w:rPr>
        <w:t xml:space="preserve">Previous work </w:t>
      </w:r>
      <w:r w:rsidR="002A4202" w:rsidRPr="00D16B79">
        <w:rPr>
          <w:lang w:val="en-US"/>
        </w:rPr>
        <w:t>suggests</w:t>
      </w:r>
      <w:r w:rsidR="00CA31B7" w:rsidRPr="00D16B79">
        <w:rPr>
          <w:lang w:val="en-US"/>
        </w:rPr>
        <w:t xml:space="preserve"> </w:t>
      </w:r>
      <w:r w:rsidR="00753FF2" w:rsidRPr="00D16B79">
        <w:rPr>
          <w:lang w:val="en-US"/>
        </w:rPr>
        <w:t>that</w:t>
      </w:r>
      <w:r w:rsidR="00E57F35" w:rsidRPr="00D16B79">
        <w:rPr>
          <w:lang w:val="en-US"/>
        </w:rPr>
        <w:t>,</w:t>
      </w:r>
      <w:r w:rsidR="00753FF2" w:rsidRPr="00D16B79">
        <w:rPr>
          <w:lang w:val="en-US"/>
        </w:rPr>
        <w:t xml:space="preserve"> </w:t>
      </w:r>
      <w:r w:rsidR="00A50621" w:rsidRPr="00D16B79">
        <w:rPr>
          <w:lang w:val="en-US"/>
        </w:rPr>
        <w:t xml:space="preserve">under </w:t>
      </w:r>
      <w:r w:rsidR="0007304E" w:rsidRPr="00D16B79">
        <w:rPr>
          <w:lang w:val="en-US"/>
        </w:rPr>
        <w:t>some</w:t>
      </w:r>
      <w:r w:rsidR="00A50621" w:rsidRPr="00D16B79">
        <w:rPr>
          <w:lang w:val="en-US"/>
        </w:rPr>
        <w:t xml:space="preserve"> circumstances</w:t>
      </w:r>
      <w:r w:rsidR="00E57F35" w:rsidRPr="00D16B79">
        <w:rPr>
          <w:lang w:val="en-US"/>
        </w:rPr>
        <w:t>,</w:t>
      </w:r>
      <w:r w:rsidR="00A50621" w:rsidRPr="00D16B79">
        <w:rPr>
          <w:lang w:val="en-US"/>
        </w:rPr>
        <w:t xml:space="preserve"> </w:t>
      </w:r>
      <w:r w:rsidR="00753FF2" w:rsidRPr="00D16B79">
        <w:rPr>
          <w:lang w:val="en-US"/>
        </w:rPr>
        <w:t xml:space="preserve">people </w:t>
      </w:r>
      <w:r w:rsidR="008F380A" w:rsidRPr="00D16B79">
        <w:rPr>
          <w:lang w:val="en-US"/>
        </w:rPr>
        <w:t>tend to</w:t>
      </w:r>
      <w:r w:rsidR="00AB4843" w:rsidRPr="00D16B79">
        <w:rPr>
          <w:lang w:val="en-US"/>
        </w:rPr>
        <w:t xml:space="preserve"> </w:t>
      </w:r>
      <w:r w:rsidR="00753FF2" w:rsidRPr="00D16B79">
        <w:rPr>
          <w:lang w:val="en-US"/>
        </w:rPr>
        <w:t xml:space="preserve">give more to </w:t>
      </w:r>
      <w:r w:rsidR="00395D85" w:rsidRPr="00D16B79">
        <w:rPr>
          <w:lang w:val="en-US"/>
        </w:rPr>
        <w:t xml:space="preserve">causes </w:t>
      </w:r>
      <w:r w:rsidR="003771F7" w:rsidRPr="00D16B79">
        <w:rPr>
          <w:lang w:val="en-US"/>
        </w:rPr>
        <w:t xml:space="preserve">that are </w:t>
      </w:r>
      <w:r w:rsidR="00753FF2" w:rsidRPr="00D16B79">
        <w:rPr>
          <w:lang w:val="en-US"/>
        </w:rPr>
        <w:t>closer to their goal</w:t>
      </w:r>
      <w:r w:rsidR="003771F7" w:rsidRPr="00D16B79">
        <w:rPr>
          <w:lang w:val="en-US"/>
        </w:rPr>
        <w:t xml:space="preserve"> </w:t>
      </w:r>
      <w:r w:rsidR="00753FF2" w:rsidRPr="00D16B79">
        <w:rPr>
          <w:rFonts w:eastAsia="Arial"/>
          <w:lang w:val="en-US"/>
        </w:rPr>
        <w:fldChar w:fldCharType="begin"/>
      </w:r>
      <w:r w:rsidR="00181321">
        <w:rPr>
          <w:rFonts w:eastAsia="Arial"/>
          <w:lang w:val="en-US"/>
        </w:rPr>
        <w:instrText xml:space="preserve"> ADDIN ZOTERO_ITEM CSL_CITATION {"citationID":"RDgLo4tO","properties":{"formattedCitation":"(Cryder, Loewenstein, and Seltman 2013; Kivetz, Urminsky, and Zheng 2006)","plainCitation":"(Cryder, Loewenstein, and Seltman 2013; Kivetz, Urminsky, and Zheng 2006)","noteIndex":0},"citationItems":[{"id":2335,"uris":["http://zotero.org/users/4606674/items/KQ6ICYYK"],"itemData":{"id":2335,"type":"article-journal","abstract":"People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E."},{"family":"Loewenstein","given":"George"},{"family":"Seltman","given":"Howard"}],"issued":{"date-parts":[["2013",11,1]]}}},{"id":2336,"uris":["http://zotero.org/users/4606674/items/CXXY285Z"],"itemData":{"id":2336,"type":"article-journal","abstract":"The goal-gradient hypothesis denotes the classic finding from behaviorism that animals expend more effort as they approach a reward. Building on this hypothesis, the authors generate new propositions for the human psychology of rewards. They test these propositions using field experiments, secondary customer data, paper-and-pencil problems, and Tobit and logit models. The key findings indicate that (1) participants in a real café reward program purchase coffee more frequently the closer they are to earning a free coffee; (2) Internet users who rate songs in return for reward certificates visit the rating Web site more often, rate more songs per visit, and persist longer in the rating effort as they approach the reward goal; (3) the illusion of progress toward the goal induces purchase acceleration (e.g., customers who receive a 12-stamp coffee card with 2 preexisting “bonus” stamps complete the 10 required purchases faster than customers who receive a “regular” 10-stamp card); and (4) a stronger tendency to accelerate toward the goal predicts greater retention and faster reengagement in the program. The conceptualization and empirical findings are captured by a parsimonious goal-distance model, in which effort investment is a function of the proportion of original distance remaining to the goal. In addition, using statistical and experimental controls, the authors rule out alternative explanations for the observed goal gradients. They discuss the theoretical significance of their findings and the managerial implications for incentive systems, promotions, and customer retention.","container-title":"Journal of Marketing Research","DOI":"10.1509/jmkr.43.1.39","ISSN":"0022-2437","issue":"1","journalAbbreviation":"Journal of Marketing Research","language":"en","page":"39-58","source":"SAGE Journals","title":"The Goal-Gradient Hypothesis Resurrected: Purchase Acceleration, Illusionary Goal Progress, and Customer Retention","title-short":"The Goal-Gradient Hypothesis Resurrected","volume":"43","author":[{"family":"Kivetz","given":"Ran"},{"family":"Urminsky","given":"Oleg"},{"family":"Zheng","given":"Yuhuang"}],"issued":{"date-parts":[["2006",2,1]]}}}],"schema":"https://github.com/citation-style-language/schema/raw/master/csl-citation.json"} </w:instrText>
      </w:r>
      <w:r w:rsidR="00753FF2" w:rsidRPr="00D16B79">
        <w:rPr>
          <w:rFonts w:eastAsia="Arial"/>
          <w:lang w:val="en-US"/>
        </w:rPr>
        <w:fldChar w:fldCharType="separate"/>
      </w:r>
      <w:r w:rsidR="00FA5441" w:rsidRPr="00D16B79">
        <w:rPr>
          <w:rFonts w:ascii="Times New Roman" w:hAnsi="Times New Roman"/>
          <w:lang w:val="en-US"/>
        </w:rPr>
        <w:t>(Cryder, Loewenstein, and Seltman 2013; Kivetz, Urminsky, and Zheng 2006)</w:t>
      </w:r>
      <w:r w:rsidR="00753FF2" w:rsidRPr="00D16B79">
        <w:rPr>
          <w:rFonts w:eastAsia="Arial"/>
          <w:lang w:val="en-US"/>
        </w:rPr>
        <w:fldChar w:fldCharType="end"/>
      </w:r>
      <w:r w:rsidR="00467B50" w:rsidRPr="00D16B79">
        <w:rPr>
          <w:rFonts w:eastAsia="Arial"/>
          <w:lang w:val="en-US"/>
        </w:rPr>
        <w:t>,</w:t>
      </w:r>
      <w:r w:rsidR="00CA31B7" w:rsidRPr="00D16B79">
        <w:rPr>
          <w:rFonts w:eastAsia="Arial"/>
          <w:lang w:val="en-US"/>
        </w:rPr>
        <w:t xml:space="preserve"> and</w:t>
      </w:r>
      <w:r w:rsidR="00E57F35" w:rsidRPr="00D16B79">
        <w:rPr>
          <w:rFonts w:eastAsia="Arial"/>
          <w:lang w:val="en-US"/>
        </w:rPr>
        <w:t>,</w:t>
      </w:r>
      <w:r w:rsidR="00CA31B7" w:rsidRPr="00D16B79">
        <w:rPr>
          <w:rFonts w:eastAsia="Arial"/>
          <w:lang w:val="en-US"/>
        </w:rPr>
        <w:t xml:space="preserve"> </w:t>
      </w:r>
      <w:r w:rsidR="0007304E" w:rsidRPr="00D16B79">
        <w:rPr>
          <w:rFonts w:eastAsia="Arial"/>
          <w:lang w:val="en-US"/>
        </w:rPr>
        <w:t>in others</w:t>
      </w:r>
      <w:r w:rsidR="00E57F35" w:rsidRPr="00D16B79">
        <w:rPr>
          <w:rFonts w:eastAsia="Arial"/>
          <w:lang w:val="en-US"/>
        </w:rPr>
        <w:t>,</w:t>
      </w:r>
      <w:r w:rsidR="0007304E" w:rsidRPr="00D16B79">
        <w:rPr>
          <w:rFonts w:eastAsia="Arial"/>
          <w:lang w:val="en-US"/>
        </w:rPr>
        <w:t xml:space="preserve"> they give more </w:t>
      </w:r>
      <w:r w:rsidR="00A50621" w:rsidRPr="00D16B79">
        <w:rPr>
          <w:rFonts w:eastAsia="Arial"/>
          <w:lang w:val="en-US"/>
        </w:rPr>
        <w:t xml:space="preserve">to those </w:t>
      </w:r>
      <w:r w:rsidR="00CA31B7" w:rsidRPr="00D16B79">
        <w:rPr>
          <w:rFonts w:eastAsia="Arial"/>
          <w:lang w:val="en-US"/>
        </w:rPr>
        <w:t>f</w:t>
      </w:r>
      <w:r w:rsidR="00AA44FC" w:rsidRPr="00D16B79">
        <w:rPr>
          <w:rFonts w:eastAsia="Arial"/>
          <w:lang w:val="en-US"/>
        </w:rPr>
        <w:t>a</w:t>
      </w:r>
      <w:r w:rsidR="00CA31B7" w:rsidRPr="00D16B79">
        <w:rPr>
          <w:rFonts w:eastAsia="Arial"/>
          <w:lang w:val="en-US"/>
        </w:rPr>
        <w:t xml:space="preserve">rther from their goal </w:t>
      </w:r>
      <w:r w:rsidR="00603AFA" w:rsidRPr="00D16B79">
        <w:rPr>
          <w:rFonts w:eastAsia="Arial"/>
          <w:lang w:val="en-US"/>
        </w:rPr>
        <w:fldChar w:fldCharType="begin"/>
      </w:r>
      <w:r w:rsidR="00181321">
        <w:rPr>
          <w:rFonts w:eastAsia="Arial"/>
          <w:lang w:val="en-US"/>
        </w:rPr>
        <w:instrText xml:space="preserve"> ADDIN ZOTERO_ITEM CSL_CITATION {"citationID":"mOin1Vqv","properties":{"formattedCitation":"(Huang, Zhang, and Broniarczyk 2012; Koo and Fishbach 2012)","plainCitation":"(Huang, Zhang, and Broniarczyk 2012; Koo and Fishbach 2012)","noteIndex":0},"citationItems":[{"id":1889,"uris":["http://zotero.org/users/4606674/items/NWZRJF3T"],"itemData":{"id":1889,"type":"article-journal","abstract":"In the present article, we explore whether people's mental representation of progress level can function as a self-regulation mechanism that helps motivate continued effort in the pursuit. We propose that when individuals have just started pursuing a goal and have accumulated only limited progress, they exaggerate the achieved progress level in their mental representation to signal a higher chance of eventual goal attainment and thus elicit greater effort. In contrast, when people have made substantial progress and are approaching the goal attainment, they downplay the achieved progress in their mental representation to create greater perceived discrepancy, hence eliciting greater effort. Empirical evidence from 4 studies supported the hypothesis. (PsycINFO Database Record (c) 2016 APA, all rights reserved)","container-title":"Journal of Personality and Social Psychology","DOI":"10.1037/a0028443","ISSN":"1939-1315(Electronic),0022-3514(Print)","issue":"2","note":"publisher-place: US\npublisher: American Psychological Association","page":"225-241","source":"APA PsycNET","title":"So Near and yet so Far: The Mental Representation of Goal Progress","title-short":"So Near and yet so Far","volume":"103","author":[{"family":"Huang","given":"Szu-chi"},{"family":"Zhang","given":"Ying"},{"family":"Broniarczyk","given":"Susan M."}],"issued":{"date-parts":[["2012"]]}},"label":"page"},{"id":2323,"uris":["http://zotero.org/users/4606674/items/U2NESV2V"],"itemData":{"id":2323,"type":"article-journal","container-title":"Journal of Consumer Research","issue":"3","note":"publisher: University of Chicago Press Chicago, IL","page":"493–509","source":"Google Scholar","title":"The Small-Area Hypothesis: Effects of Progress Monitoring on Goal Adherence","title-short":"The Small-Area Hypothesis","volume":"39","author":[{"family":"Koo","given":"Minjung"},{"family":"Fishbach","given":"Ayelet"}],"issued":{"date-parts":[["2012"]]}}}],"schema":"https://github.com/citation-style-language/schema/raw/master/csl-citation.json"} </w:instrText>
      </w:r>
      <w:r w:rsidR="00603AFA" w:rsidRPr="00D16B79">
        <w:rPr>
          <w:rFonts w:eastAsia="Arial"/>
          <w:lang w:val="en-US"/>
        </w:rPr>
        <w:fldChar w:fldCharType="separate"/>
      </w:r>
      <w:r w:rsidR="00603AFA" w:rsidRPr="00D16B79">
        <w:rPr>
          <w:rFonts w:ascii="Times New Roman" w:hAnsi="Times New Roman"/>
          <w:lang w:val="en-US"/>
        </w:rPr>
        <w:t>(Huang, Zhang, and Broniarczyk 2012; Koo and Fishbach 2012)</w:t>
      </w:r>
      <w:r w:rsidR="00603AFA" w:rsidRPr="00D16B79">
        <w:rPr>
          <w:rFonts w:eastAsia="Arial"/>
          <w:lang w:val="en-US"/>
        </w:rPr>
        <w:fldChar w:fldCharType="end"/>
      </w:r>
      <w:r w:rsidR="00753FF2" w:rsidRPr="00D16B79">
        <w:rPr>
          <w:rFonts w:eastAsia="Arial"/>
          <w:lang w:val="en-US"/>
        </w:rPr>
        <w:t xml:space="preserve">. </w:t>
      </w:r>
      <w:r w:rsidR="00CA31B7" w:rsidRPr="00D16B79">
        <w:rPr>
          <w:rFonts w:eastAsia="Arial"/>
          <w:lang w:val="en-US"/>
        </w:rPr>
        <w:t xml:space="preserve">We </w:t>
      </w:r>
      <w:r w:rsidR="00E0504F" w:rsidRPr="00D16B79">
        <w:rPr>
          <w:rFonts w:eastAsia="Arial"/>
          <w:lang w:val="en-US"/>
        </w:rPr>
        <w:t xml:space="preserve">build on </w:t>
      </w:r>
      <w:r w:rsidR="00707C82">
        <w:rPr>
          <w:rFonts w:eastAsia="Arial"/>
          <w:lang w:val="en-US"/>
        </w:rPr>
        <w:t xml:space="preserve">this </w:t>
      </w:r>
      <w:r w:rsidR="00E0504F" w:rsidRPr="00D16B79">
        <w:rPr>
          <w:rFonts w:eastAsia="Arial"/>
          <w:lang w:val="en-US"/>
        </w:rPr>
        <w:t>existing work</w:t>
      </w:r>
      <w:r w:rsidR="00CA31B7" w:rsidRPr="00D16B79">
        <w:rPr>
          <w:rFonts w:eastAsia="Arial"/>
          <w:lang w:val="en-US"/>
        </w:rPr>
        <w:t xml:space="preserve"> </w:t>
      </w:r>
      <w:r w:rsidR="00524B4F">
        <w:rPr>
          <w:rFonts w:eastAsia="Arial"/>
          <w:lang w:val="en-US"/>
        </w:rPr>
        <w:t>to</w:t>
      </w:r>
      <w:r w:rsidR="00524B4F" w:rsidRPr="00D16B79">
        <w:rPr>
          <w:rFonts w:eastAsia="Arial"/>
          <w:lang w:val="en-US"/>
        </w:rPr>
        <w:t xml:space="preserve"> </w:t>
      </w:r>
      <w:r w:rsidR="00CA31B7" w:rsidRPr="00D16B79">
        <w:rPr>
          <w:rFonts w:eastAsia="Arial"/>
          <w:lang w:val="en-US"/>
        </w:rPr>
        <w:t>demonstra</w:t>
      </w:r>
      <w:r w:rsidR="00524B4F">
        <w:rPr>
          <w:rFonts w:eastAsia="Arial"/>
          <w:lang w:val="en-US"/>
        </w:rPr>
        <w:t>te</w:t>
      </w:r>
      <w:r w:rsidR="00CA31B7" w:rsidRPr="00D16B79">
        <w:rPr>
          <w:rFonts w:eastAsia="Arial"/>
          <w:lang w:val="en-US"/>
        </w:rPr>
        <w:t xml:space="preserve"> </w:t>
      </w:r>
      <w:r w:rsidR="00BD5977" w:rsidRPr="00D16B79">
        <w:rPr>
          <w:rFonts w:eastAsia="Arial"/>
          <w:lang w:val="en-US"/>
        </w:rPr>
        <w:t>an</w:t>
      </w:r>
      <w:r w:rsidR="00CA31B7" w:rsidRPr="00D16B79">
        <w:rPr>
          <w:rFonts w:eastAsia="Arial"/>
          <w:lang w:val="en-US"/>
        </w:rPr>
        <w:t xml:space="preserve"> important factor that influences when</w:t>
      </w:r>
      <w:r w:rsidR="00753FF2" w:rsidRPr="00D16B79">
        <w:rPr>
          <w:lang w:val="en-US"/>
        </w:rPr>
        <w:t xml:space="preserve"> consumers will </w:t>
      </w:r>
      <w:r w:rsidR="004253B1" w:rsidRPr="00D16B79">
        <w:rPr>
          <w:lang w:val="en-US"/>
        </w:rPr>
        <w:t>give less</w:t>
      </w:r>
      <w:r w:rsidR="00CA31B7" w:rsidRPr="00D16B79">
        <w:rPr>
          <w:lang w:val="en-US"/>
        </w:rPr>
        <w:t xml:space="preserve"> v</w:t>
      </w:r>
      <w:r w:rsidR="00575015" w:rsidRPr="00D16B79">
        <w:rPr>
          <w:lang w:val="en-US"/>
        </w:rPr>
        <w:t>ersus</w:t>
      </w:r>
      <w:r w:rsidR="00CA31B7" w:rsidRPr="00D16B79">
        <w:rPr>
          <w:lang w:val="en-US"/>
        </w:rPr>
        <w:t xml:space="preserve"> more</w:t>
      </w:r>
      <w:r w:rsidR="004253B1" w:rsidRPr="00D16B79">
        <w:rPr>
          <w:lang w:val="en-US"/>
        </w:rPr>
        <w:t xml:space="preserve"> to a charity </w:t>
      </w:r>
      <w:r w:rsidR="00BD5977" w:rsidRPr="00D16B79">
        <w:rPr>
          <w:lang w:val="en-US"/>
        </w:rPr>
        <w:t>as a function of its goal progress</w:t>
      </w:r>
      <w:r w:rsidR="00753FF2" w:rsidRPr="00D16B79">
        <w:rPr>
          <w:lang w:val="en-US"/>
        </w:rPr>
        <w:t>.</w:t>
      </w:r>
      <w:r w:rsidR="00A50621" w:rsidRPr="00D16B79">
        <w:rPr>
          <w:lang w:val="en-US"/>
        </w:rPr>
        <w:t xml:space="preserve"> Specifically</w:t>
      </w:r>
      <w:r w:rsidR="0007304E" w:rsidRPr="00D16B79">
        <w:rPr>
          <w:lang w:val="en-US"/>
        </w:rPr>
        <w:t>,</w:t>
      </w:r>
      <w:r w:rsidR="00A50621" w:rsidRPr="00D16B79">
        <w:rPr>
          <w:lang w:val="en-US"/>
        </w:rPr>
        <w:t xml:space="preserve"> we predict and </w:t>
      </w:r>
      <w:r w:rsidR="00E57F35" w:rsidRPr="00D16B79">
        <w:rPr>
          <w:lang w:val="en-US"/>
        </w:rPr>
        <w:t xml:space="preserve">find </w:t>
      </w:r>
      <w:r w:rsidR="00A50621" w:rsidRPr="00D16B79">
        <w:rPr>
          <w:lang w:val="en-US"/>
        </w:rPr>
        <w:t>that evaluation mode matters</w:t>
      </w:r>
      <w:r w:rsidR="0097025F" w:rsidRPr="00D16B79">
        <w:rPr>
          <w:lang w:val="en-US"/>
        </w:rPr>
        <w:t xml:space="preserve">: </w:t>
      </w:r>
      <w:r w:rsidR="00E57F35" w:rsidRPr="00D16B79">
        <w:rPr>
          <w:lang w:val="en-US"/>
        </w:rPr>
        <w:t>I</w:t>
      </w:r>
      <w:r w:rsidR="00A50621" w:rsidRPr="00D16B79">
        <w:rPr>
          <w:lang w:val="en-US"/>
        </w:rPr>
        <w:t xml:space="preserve">n joint evaluation </w:t>
      </w:r>
      <w:r w:rsidR="005527F8" w:rsidRPr="00D16B79">
        <w:rPr>
          <w:lang w:val="en-US"/>
        </w:rPr>
        <w:t xml:space="preserve">(vs. separate evaluation) </w:t>
      </w:r>
      <w:r w:rsidR="00E57F35" w:rsidRPr="00D16B79">
        <w:rPr>
          <w:lang w:val="en-US"/>
        </w:rPr>
        <w:t xml:space="preserve">contexts consumers </w:t>
      </w:r>
      <w:r w:rsidR="00524B4F">
        <w:rPr>
          <w:lang w:val="en-US"/>
        </w:rPr>
        <w:t xml:space="preserve">tend to </w:t>
      </w:r>
      <w:r w:rsidR="00A50621" w:rsidRPr="00D16B79">
        <w:rPr>
          <w:lang w:val="en-US"/>
        </w:rPr>
        <w:t xml:space="preserve">give more to </w:t>
      </w:r>
      <w:r w:rsidR="00E57F35" w:rsidRPr="00D16B79">
        <w:rPr>
          <w:lang w:val="en-US"/>
        </w:rPr>
        <w:t xml:space="preserve">the </w:t>
      </w:r>
      <w:r w:rsidR="005527F8" w:rsidRPr="00D16B79">
        <w:rPr>
          <w:lang w:val="en-US"/>
        </w:rPr>
        <w:t xml:space="preserve">charity </w:t>
      </w:r>
      <w:r w:rsidR="00E57F35" w:rsidRPr="00D16B79">
        <w:rPr>
          <w:lang w:val="en-US"/>
        </w:rPr>
        <w:t xml:space="preserve">that is </w:t>
      </w:r>
      <w:r w:rsidR="00A50621" w:rsidRPr="00D16B79">
        <w:rPr>
          <w:lang w:val="en-US"/>
        </w:rPr>
        <w:t>farther from its goal</w:t>
      </w:r>
      <w:r w:rsidR="00E57F35" w:rsidRPr="00D16B79">
        <w:rPr>
          <w:lang w:val="en-US"/>
        </w:rPr>
        <w:t xml:space="preserve">. </w:t>
      </w:r>
    </w:p>
    <w:p w14:paraId="4D688240" w14:textId="5E5F7E97" w:rsidR="006F1106" w:rsidRPr="009D4D3B" w:rsidRDefault="00F9530F" w:rsidP="004E56F0">
      <w:pPr>
        <w:spacing w:line="480" w:lineRule="auto"/>
        <w:ind w:firstLine="720"/>
        <w:rPr>
          <w:lang w:val="en-US"/>
        </w:rPr>
      </w:pPr>
      <w:r w:rsidRPr="00D16B79">
        <w:rPr>
          <w:lang w:val="en-US"/>
        </w:rPr>
        <w:t xml:space="preserve">We suggest </w:t>
      </w:r>
      <w:r w:rsidR="00AB17AB">
        <w:rPr>
          <w:lang w:val="en-US"/>
        </w:rPr>
        <w:t>that consumers will be most likely to help an organization</w:t>
      </w:r>
      <w:r w:rsidR="00524B4F">
        <w:rPr>
          <w:lang w:val="en-US"/>
        </w:rPr>
        <w:t xml:space="preserve"> </w:t>
      </w:r>
      <w:r w:rsidR="00707C82">
        <w:rPr>
          <w:lang w:val="en-US"/>
        </w:rPr>
        <w:t>far</w:t>
      </w:r>
      <w:r w:rsidR="002C052C">
        <w:rPr>
          <w:lang w:val="en-US"/>
        </w:rPr>
        <w:t>ther</w:t>
      </w:r>
      <w:r w:rsidR="00707C82">
        <w:rPr>
          <w:lang w:val="en-US"/>
        </w:rPr>
        <w:t xml:space="preserve"> from their goal </w:t>
      </w:r>
      <w:r w:rsidR="00524B4F">
        <w:rPr>
          <w:lang w:val="en-US"/>
        </w:rPr>
        <w:t xml:space="preserve">when a) </w:t>
      </w:r>
      <w:r w:rsidR="00050505" w:rsidRPr="00D16B79">
        <w:rPr>
          <w:lang w:val="en-US"/>
        </w:rPr>
        <w:t xml:space="preserve">the </w:t>
      </w:r>
      <w:r w:rsidR="00524B4F">
        <w:rPr>
          <w:lang w:val="en-US"/>
        </w:rPr>
        <w:t>domain</w:t>
      </w:r>
      <w:r w:rsidR="00524B4F" w:rsidRPr="00D16B79">
        <w:rPr>
          <w:lang w:val="en-US"/>
        </w:rPr>
        <w:t xml:space="preserve"> </w:t>
      </w:r>
      <w:r w:rsidR="00524B4F">
        <w:rPr>
          <w:lang w:val="en-US"/>
        </w:rPr>
        <w:t xml:space="preserve">is relatively </w:t>
      </w:r>
      <w:r w:rsidR="00395D85" w:rsidRPr="00D16B79">
        <w:rPr>
          <w:lang w:val="en-US"/>
        </w:rPr>
        <w:t>prosocial</w:t>
      </w:r>
      <w:r w:rsidR="00524B4F">
        <w:rPr>
          <w:lang w:val="en-US"/>
        </w:rPr>
        <w:t xml:space="preserve">, </w:t>
      </w:r>
      <w:r w:rsidR="00050505" w:rsidRPr="00D16B79">
        <w:rPr>
          <w:lang w:val="en-US"/>
        </w:rPr>
        <w:t xml:space="preserve">such as </w:t>
      </w:r>
      <w:r w:rsidR="00524B4F">
        <w:rPr>
          <w:lang w:val="en-US"/>
        </w:rPr>
        <w:t xml:space="preserve">in </w:t>
      </w:r>
      <w:r w:rsidR="00050505" w:rsidRPr="00D16B79">
        <w:rPr>
          <w:lang w:val="en-US"/>
        </w:rPr>
        <w:t>charitable fundraising</w:t>
      </w:r>
      <w:r w:rsidR="00524B4F">
        <w:rPr>
          <w:lang w:val="en-US"/>
        </w:rPr>
        <w:t xml:space="preserve"> contexts and b) when the </w:t>
      </w:r>
      <w:r w:rsidR="00050505" w:rsidRPr="00D16B79">
        <w:rPr>
          <w:lang w:val="en-US"/>
        </w:rPr>
        <w:t xml:space="preserve">evaluation </w:t>
      </w:r>
      <w:r w:rsidR="00524B4F">
        <w:rPr>
          <w:lang w:val="en-US"/>
        </w:rPr>
        <w:t xml:space="preserve">is </w:t>
      </w:r>
      <w:r w:rsidR="00050505" w:rsidRPr="00D16B79">
        <w:rPr>
          <w:lang w:val="en-US"/>
        </w:rPr>
        <w:t xml:space="preserve">comparative, </w:t>
      </w:r>
      <w:r w:rsidR="005527F8" w:rsidRPr="00D16B79">
        <w:rPr>
          <w:lang w:val="en-US"/>
        </w:rPr>
        <w:t xml:space="preserve">wherein </w:t>
      </w:r>
      <w:r w:rsidR="00215149" w:rsidRPr="00D16B79">
        <w:rPr>
          <w:lang w:val="en-US"/>
        </w:rPr>
        <w:t>more than one charity</w:t>
      </w:r>
      <w:r w:rsidR="004454C6" w:rsidRPr="00D16B79">
        <w:rPr>
          <w:lang w:val="en-US"/>
        </w:rPr>
        <w:t xml:space="preserve"> is</w:t>
      </w:r>
      <w:r w:rsidR="00050505" w:rsidRPr="00D16B79">
        <w:rPr>
          <w:lang w:val="en-US"/>
        </w:rPr>
        <w:t xml:space="preserve"> </w:t>
      </w:r>
      <w:r w:rsidRPr="00D16B79">
        <w:rPr>
          <w:lang w:val="en-US"/>
        </w:rPr>
        <w:t>considered by</w:t>
      </w:r>
      <w:r w:rsidR="00215149" w:rsidRPr="00D16B79">
        <w:rPr>
          <w:lang w:val="en-US"/>
        </w:rPr>
        <w:t xml:space="preserve"> the </w:t>
      </w:r>
      <w:r w:rsidR="00026F54" w:rsidRPr="00D16B79">
        <w:rPr>
          <w:lang w:val="en-US"/>
        </w:rPr>
        <w:t>potential donor</w:t>
      </w:r>
      <w:r w:rsidR="00050505" w:rsidRPr="00D16B79">
        <w:rPr>
          <w:lang w:val="en-US"/>
        </w:rPr>
        <w:t xml:space="preserve">. </w:t>
      </w:r>
      <w:r w:rsidR="00524B4F">
        <w:rPr>
          <w:lang w:val="en-US"/>
        </w:rPr>
        <w:t xml:space="preserve">This is because the effect emerges when </w:t>
      </w:r>
      <w:r w:rsidR="00215149" w:rsidRPr="00D16B79">
        <w:rPr>
          <w:lang w:val="en-US"/>
        </w:rPr>
        <w:t xml:space="preserve">the context heightens sensitivity to need </w:t>
      </w:r>
      <w:r w:rsidR="006F51CB" w:rsidRPr="00D16B79">
        <w:rPr>
          <w:lang w:val="en-US"/>
        </w:rPr>
        <w:t xml:space="preserve">for help </w:t>
      </w:r>
      <w:r w:rsidR="00215149" w:rsidRPr="00D16B79">
        <w:rPr>
          <w:lang w:val="en-US"/>
        </w:rPr>
        <w:t>(i.e., the context is</w:t>
      </w:r>
      <w:r w:rsidR="00524B4F">
        <w:rPr>
          <w:lang w:val="en-US"/>
        </w:rPr>
        <w:t xml:space="preserve"> somewhat</w:t>
      </w:r>
      <w:r w:rsidR="00215149" w:rsidRPr="00D16B79">
        <w:rPr>
          <w:lang w:val="en-US"/>
        </w:rPr>
        <w:t xml:space="preserve"> </w:t>
      </w:r>
      <w:r w:rsidR="00503179" w:rsidRPr="00D16B79">
        <w:rPr>
          <w:lang w:val="en-US"/>
        </w:rPr>
        <w:t>prosocial</w:t>
      </w:r>
      <w:r w:rsidR="00215149" w:rsidRPr="00D16B79">
        <w:rPr>
          <w:lang w:val="en-US"/>
        </w:rPr>
        <w:t xml:space="preserve">) and </w:t>
      </w:r>
      <w:r w:rsidR="00452FEA" w:rsidRPr="00D16B79">
        <w:rPr>
          <w:lang w:val="en-US"/>
        </w:rPr>
        <w:t xml:space="preserve">relative </w:t>
      </w:r>
      <w:r w:rsidRPr="00D16B79">
        <w:rPr>
          <w:lang w:val="en-US"/>
        </w:rPr>
        <w:t xml:space="preserve">need </w:t>
      </w:r>
      <w:r w:rsidR="006F51CB" w:rsidRPr="00D16B79">
        <w:rPr>
          <w:lang w:val="en-US"/>
        </w:rPr>
        <w:t xml:space="preserve">for help </w:t>
      </w:r>
      <w:r w:rsidRPr="00D16B79">
        <w:rPr>
          <w:lang w:val="en-US"/>
        </w:rPr>
        <w:t xml:space="preserve">is </w:t>
      </w:r>
      <w:r w:rsidR="003278F8">
        <w:rPr>
          <w:lang w:val="en-US"/>
        </w:rPr>
        <w:t xml:space="preserve">more salient and </w:t>
      </w:r>
      <w:r w:rsidR="0062098F">
        <w:rPr>
          <w:lang w:val="en-US"/>
        </w:rPr>
        <w:t>easier to evaluate</w:t>
      </w:r>
      <w:r w:rsidRPr="00D16B79">
        <w:rPr>
          <w:lang w:val="en-US"/>
        </w:rPr>
        <w:t xml:space="preserve"> </w:t>
      </w:r>
      <w:r w:rsidR="00215149" w:rsidRPr="00D16B79">
        <w:rPr>
          <w:lang w:val="en-US"/>
        </w:rPr>
        <w:t>(i.e., in joint evaluation)</w:t>
      </w:r>
      <w:r w:rsidR="00050505" w:rsidRPr="00D16B79">
        <w:rPr>
          <w:lang w:val="en-US"/>
        </w:rPr>
        <w:t>.</w:t>
      </w:r>
      <w:r w:rsidR="006F1106" w:rsidRPr="00D16B79">
        <w:rPr>
          <w:rFonts w:ascii="Times New Roman" w:eastAsia="Cambria" w:hAnsi="Times New Roman"/>
          <w:lang w:val="en-US" w:eastAsia="en-US"/>
        </w:rPr>
        <w:t xml:space="preserve"> Across </w:t>
      </w:r>
      <w:r w:rsidR="0065234A" w:rsidRPr="00D16B79">
        <w:rPr>
          <w:rFonts w:ascii="Times New Roman" w:eastAsia="Cambria" w:hAnsi="Times New Roman"/>
          <w:lang w:val="en-US" w:eastAsia="en-US"/>
        </w:rPr>
        <w:t>six</w:t>
      </w:r>
      <w:r w:rsidR="002A4202" w:rsidRPr="00D16B79">
        <w:rPr>
          <w:rFonts w:ascii="Times New Roman" w:eastAsia="Cambria" w:hAnsi="Times New Roman"/>
          <w:lang w:val="en-US" w:eastAsia="en-US"/>
        </w:rPr>
        <w:t xml:space="preserve"> </w:t>
      </w:r>
      <w:r w:rsidR="00712E29" w:rsidRPr="00D16B79">
        <w:rPr>
          <w:rFonts w:ascii="Times New Roman" w:eastAsia="Cambria" w:hAnsi="Times New Roman"/>
          <w:lang w:val="en-US" w:eastAsia="en-US"/>
        </w:rPr>
        <w:t>pre</w:t>
      </w:r>
      <w:r w:rsidR="005000DF" w:rsidRPr="00D16B79">
        <w:rPr>
          <w:rFonts w:ascii="Times New Roman" w:eastAsia="Cambria" w:hAnsi="Times New Roman"/>
          <w:lang w:val="en-US" w:eastAsia="en-US"/>
        </w:rPr>
        <w:t>-</w:t>
      </w:r>
      <w:r w:rsidR="00712E29" w:rsidRPr="00D16B79">
        <w:rPr>
          <w:rFonts w:ascii="Times New Roman" w:eastAsia="Cambria" w:hAnsi="Times New Roman"/>
          <w:lang w:val="en-US" w:eastAsia="en-US"/>
        </w:rPr>
        <w:t xml:space="preserve">registered main </w:t>
      </w:r>
      <w:r w:rsidR="00AB17AB">
        <w:rPr>
          <w:rFonts w:ascii="Times New Roman" w:eastAsia="Cambria" w:hAnsi="Times New Roman"/>
          <w:lang w:val="en-US" w:eastAsia="en-US"/>
        </w:rPr>
        <w:t xml:space="preserve">experimental </w:t>
      </w:r>
      <w:r w:rsidR="00712E29" w:rsidRPr="00D16B79">
        <w:rPr>
          <w:rFonts w:ascii="Times New Roman" w:eastAsia="Cambria" w:hAnsi="Times New Roman"/>
          <w:lang w:val="en-US" w:eastAsia="en-US"/>
        </w:rPr>
        <w:t>studies</w:t>
      </w:r>
      <w:r w:rsidR="00AB17AB">
        <w:rPr>
          <w:rFonts w:ascii="Times New Roman" w:eastAsia="Cambria" w:hAnsi="Times New Roman"/>
          <w:lang w:val="en-US" w:eastAsia="en-US"/>
        </w:rPr>
        <w:t xml:space="preserve">, </w:t>
      </w:r>
      <w:r w:rsidR="0065234A" w:rsidRPr="00D16B79">
        <w:rPr>
          <w:rFonts w:ascii="Times New Roman" w:eastAsia="Cambria" w:hAnsi="Times New Roman"/>
          <w:lang w:val="en-US" w:eastAsia="en-US"/>
        </w:rPr>
        <w:t>seven</w:t>
      </w:r>
      <w:r w:rsidR="002A4202" w:rsidRPr="00D16B79">
        <w:rPr>
          <w:rFonts w:ascii="Times New Roman" w:eastAsia="Cambria" w:hAnsi="Times New Roman"/>
          <w:lang w:val="en-US" w:eastAsia="en-US"/>
        </w:rPr>
        <w:t xml:space="preserve"> </w:t>
      </w:r>
      <w:r w:rsidR="004253B1" w:rsidRPr="00D16B79">
        <w:rPr>
          <w:rFonts w:ascii="Times New Roman" w:eastAsia="Cambria" w:hAnsi="Times New Roman"/>
          <w:lang w:val="en-US" w:eastAsia="en-US"/>
        </w:rPr>
        <w:t xml:space="preserve">supplemental </w:t>
      </w:r>
      <w:r w:rsidR="001230B4" w:rsidRPr="00D16B79">
        <w:rPr>
          <w:rFonts w:ascii="Times New Roman" w:eastAsia="Cambria" w:hAnsi="Times New Roman"/>
          <w:lang w:val="en-US" w:eastAsia="en-US"/>
        </w:rPr>
        <w:t>studies</w:t>
      </w:r>
      <w:r w:rsidR="00AB17AB">
        <w:rPr>
          <w:rFonts w:ascii="Times New Roman" w:eastAsia="Cambria" w:hAnsi="Times New Roman"/>
          <w:lang w:val="en-US" w:eastAsia="en-US"/>
        </w:rPr>
        <w:t>,</w:t>
      </w:r>
      <w:r w:rsidR="004253B1" w:rsidRPr="00D16B79">
        <w:rPr>
          <w:rFonts w:ascii="Times New Roman" w:eastAsia="Cambria" w:hAnsi="Times New Roman"/>
          <w:lang w:val="en-US" w:eastAsia="en-US"/>
        </w:rPr>
        <w:t xml:space="preserve"> and one study using </w:t>
      </w:r>
      <w:r w:rsidR="005A06A6" w:rsidRPr="00D16B79">
        <w:rPr>
          <w:rFonts w:ascii="Times New Roman" w:eastAsia="Cambria" w:hAnsi="Times New Roman"/>
          <w:lang w:val="en-US" w:eastAsia="en-US"/>
        </w:rPr>
        <w:t xml:space="preserve">secondary </w:t>
      </w:r>
      <w:r w:rsidR="00F575DB" w:rsidRPr="00D16B79">
        <w:rPr>
          <w:rFonts w:ascii="Times New Roman" w:eastAsia="Cambria" w:hAnsi="Times New Roman"/>
          <w:lang w:val="en-US" w:eastAsia="en-US"/>
        </w:rPr>
        <w:t xml:space="preserve">real-world </w:t>
      </w:r>
      <w:r w:rsidR="004253B1" w:rsidRPr="00D16B79">
        <w:rPr>
          <w:rFonts w:ascii="Times New Roman" w:eastAsia="Cambria" w:hAnsi="Times New Roman"/>
          <w:lang w:val="en-US" w:eastAsia="en-US"/>
        </w:rPr>
        <w:t>data</w:t>
      </w:r>
      <w:r w:rsidR="006F1106" w:rsidRPr="00D16B79">
        <w:rPr>
          <w:rFonts w:ascii="Times New Roman" w:eastAsia="Cambria" w:hAnsi="Times New Roman"/>
          <w:lang w:val="en-US" w:eastAsia="en-US"/>
        </w:rPr>
        <w:t xml:space="preserve">, we show that when </w:t>
      </w:r>
      <w:r w:rsidR="006F1106" w:rsidRPr="00D16B79">
        <w:rPr>
          <w:rFonts w:ascii="Times New Roman" w:eastAsia="Cambria" w:hAnsi="Times New Roman"/>
          <w:lang w:val="en-US" w:eastAsia="en-US"/>
        </w:rPr>
        <w:lastRenderedPageBreak/>
        <w:t xml:space="preserve">individuals evaluate </w:t>
      </w:r>
      <w:r w:rsidR="00395D85" w:rsidRPr="00D16B79">
        <w:rPr>
          <w:rFonts w:ascii="Times New Roman" w:eastAsia="Cambria" w:hAnsi="Times New Roman"/>
          <w:lang w:val="en-US" w:eastAsia="en-US"/>
        </w:rPr>
        <w:t>charit</w:t>
      </w:r>
      <w:r w:rsidR="005A06A6" w:rsidRPr="00D16B79">
        <w:rPr>
          <w:rFonts w:ascii="Times New Roman" w:eastAsia="Cambria" w:hAnsi="Times New Roman"/>
          <w:lang w:val="en-US" w:eastAsia="en-US"/>
        </w:rPr>
        <w:t>ies</w:t>
      </w:r>
      <w:r w:rsidR="00395D85" w:rsidRPr="00D16B79">
        <w:rPr>
          <w:rFonts w:ascii="Times New Roman" w:eastAsia="Cambria" w:hAnsi="Times New Roman"/>
          <w:lang w:val="en-US" w:eastAsia="en-US"/>
        </w:rPr>
        <w:t xml:space="preserve"> </w:t>
      </w:r>
      <w:r w:rsidR="006F1106" w:rsidRPr="00D16B79">
        <w:rPr>
          <w:rFonts w:ascii="Times New Roman" w:eastAsia="Cambria" w:hAnsi="Times New Roman"/>
          <w:lang w:val="en-US" w:eastAsia="en-US"/>
        </w:rPr>
        <w:t>jointly,</w:t>
      </w:r>
      <w:r w:rsidR="00F575DB" w:rsidRPr="00D16B79">
        <w:rPr>
          <w:rFonts w:ascii="Times New Roman" w:eastAsia="Cambria" w:hAnsi="Times New Roman"/>
          <w:lang w:val="en-US" w:eastAsia="en-US"/>
        </w:rPr>
        <w:t xml:space="preserve"> </w:t>
      </w:r>
      <w:r w:rsidR="004253B1" w:rsidRPr="00D16B79">
        <w:rPr>
          <w:rFonts w:ascii="Times New Roman" w:eastAsia="Cambria" w:hAnsi="Times New Roman"/>
          <w:lang w:val="en-US" w:eastAsia="en-US"/>
        </w:rPr>
        <w:t>they</w:t>
      </w:r>
      <w:r w:rsidR="006F1106" w:rsidRPr="00D16B79">
        <w:rPr>
          <w:rFonts w:ascii="Times New Roman" w:eastAsia="Cambria" w:hAnsi="Times New Roman"/>
          <w:lang w:val="en-US" w:eastAsia="en-US"/>
        </w:rPr>
        <w:t xml:space="preserve"> </w:t>
      </w:r>
      <w:r w:rsidR="00524B4F">
        <w:rPr>
          <w:rFonts w:ascii="Times New Roman" w:eastAsia="Cambria" w:hAnsi="Times New Roman"/>
          <w:lang w:val="en-US" w:eastAsia="en-US"/>
        </w:rPr>
        <w:t>tend to be</w:t>
      </w:r>
      <w:r w:rsidR="00524B4F" w:rsidRPr="00D16B79">
        <w:rPr>
          <w:rFonts w:ascii="Times New Roman" w:eastAsia="Cambria" w:hAnsi="Times New Roman"/>
          <w:lang w:val="en-US" w:eastAsia="en-US"/>
        </w:rPr>
        <w:t xml:space="preserve"> </w:t>
      </w:r>
      <w:r w:rsidR="008E6260" w:rsidRPr="00D16B79">
        <w:rPr>
          <w:rFonts w:ascii="Times New Roman" w:eastAsia="Cambria" w:hAnsi="Times New Roman"/>
          <w:lang w:val="en-US" w:eastAsia="en-US"/>
        </w:rPr>
        <w:t xml:space="preserve">more </w:t>
      </w:r>
      <w:r w:rsidR="006F1106" w:rsidRPr="00D16B79">
        <w:rPr>
          <w:rFonts w:ascii="Times New Roman" w:eastAsia="Cambria" w:hAnsi="Times New Roman"/>
          <w:lang w:val="en-US" w:eastAsia="en-US"/>
        </w:rPr>
        <w:t xml:space="preserve">likely to donate to </w:t>
      </w:r>
      <w:r w:rsidR="00F87A11" w:rsidRPr="00D16B79">
        <w:rPr>
          <w:rFonts w:ascii="Times New Roman" w:eastAsia="Cambria" w:hAnsi="Times New Roman"/>
          <w:lang w:val="en-US" w:eastAsia="en-US"/>
        </w:rPr>
        <w:t>(</w:t>
      </w:r>
      <w:r w:rsidR="006F1106" w:rsidRPr="00D16B79">
        <w:rPr>
          <w:rFonts w:ascii="Times New Roman" w:eastAsia="Cambria" w:hAnsi="Times New Roman"/>
          <w:lang w:val="en-US" w:eastAsia="en-US"/>
        </w:rPr>
        <w:t xml:space="preserve">and donate </w:t>
      </w:r>
      <w:r w:rsidR="008E6260" w:rsidRPr="00D16B79">
        <w:rPr>
          <w:rFonts w:ascii="Times New Roman" w:eastAsia="Cambria" w:hAnsi="Times New Roman"/>
          <w:lang w:val="en-US" w:eastAsia="en-US"/>
        </w:rPr>
        <w:t xml:space="preserve">larger </w:t>
      </w:r>
      <w:r w:rsidR="00F87A11" w:rsidRPr="00D16B79">
        <w:rPr>
          <w:rFonts w:ascii="Times New Roman" w:eastAsia="Cambria" w:hAnsi="Times New Roman"/>
          <w:lang w:val="en-US" w:eastAsia="en-US"/>
        </w:rPr>
        <w:t>amount</w:t>
      </w:r>
      <w:r w:rsidR="00AB17AB">
        <w:rPr>
          <w:rFonts w:ascii="Times New Roman" w:eastAsia="Cambria" w:hAnsi="Times New Roman"/>
          <w:lang w:val="en-US" w:eastAsia="en-US"/>
        </w:rPr>
        <w:t>s</w:t>
      </w:r>
      <w:r w:rsidR="00F87A11" w:rsidRPr="00D16B79">
        <w:rPr>
          <w:rFonts w:ascii="Times New Roman" w:eastAsia="Cambria" w:hAnsi="Times New Roman"/>
          <w:lang w:val="en-US" w:eastAsia="en-US"/>
        </w:rPr>
        <w:t xml:space="preserve"> </w:t>
      </w:r>
      <w:r w:rsidR="006F1106" w:rsidRPr="00D16B79">
        <w:rPr>
          <w:rFonts w:ascii="Times New Roman" w:eastAsia="Cambria" w:hAnsi="Times New Roman"/>
          <w:lang w:val="en-US" w:eastAsia="en-US"/>
        </w:rPr>
        <w:t>to</w:t>
      </w:r>
      <w:r w:rsidR="00F87A11" w:rsidRPr="00D16B79">
        <w:rPr>
          <w:rFonts w:ascii="Times New Roman" w:eastAsia="Cambria" w:hAnsi="Times New Roman"/>
          <w:lang w:val="en-US" w:eastAsia="en-US"/>
        </w:rPr>
        <w:t>)</w:t>
      </w:r>
      <w:r w:rsidR="006F1106" w:rsidRPr="00D16B79">
        <w:rPr>
          <w:rFonts w:ascii="Times New Roman" w:eastAsia="Cambria" w:hAnsi="Times New Roman"/>
          <w:lang w:val="en-US" w:eastAsia="en-US"/>
        </w:rPr>
        <w:t xml:space="preserve"> the charitable organization that is </w:t>
      </w:r>
      <w:r w:rsidR="008E6260" w:rsidRPr="00D16B79">
        <w:rPr>
          <w:rFonts w:ascii="Times New Roman" w:eastAsia="Cambria" w:hAnsi="Times New Roman"/>
          <w:lang w:val="en-US" w:eastAsia="en-US"/>
        </w:rPr>
        <w:t>farther from</w:t>
      </w:r>
      <w:r w:rsidR="006F1106" w:rsidRPr="00D16B79">
        <w:rPr>
          <w:rFonts w:ascii="Times New Roman" w:eastAsia="Cambria" w:hAnsi="Times New Roman"/>
          <w:lang w:val="en-US" w:eastAsia="en-US"/>
        </w:rPr>
        <w:t xml:space="preserve"> its goal. </w:t>
      </w:r>
      <w:r w:rsidR="00E75EB3" w:rsidRPr="00D16B79">
        <w:rPr>
          <w:rFonts w:ascii="Times New Roman" w:eastAsia="Cambria" w:hAnsi="Times New Roman"/>
          <w:lang w:val="en-US" w:eastAsia="en-US"/>
        </w:rPr>
        <w:t>T</w:t>
      </w:r>
      <w:r w:rsidR="00740426" w:rsidRPr="00D16B79">
        <w:rPr>
          <w:rFonts w:ascii="Times New Roman" w:eastAsia="Cambria" w:hAnsi="Times New Roman"/>
          <w:lang w:val="en-US" w:eastAsia="en-US"/>
        </w:rPr>
        <w:t xml:space="preserve">his effect </w:t>
      </w:r>
      <w:r w:rsidR="005A06A6" w:rsidRPr="00D16B79">
        <w:rPr>
          <w:rFonts w:ascii="Times New Roman" w:eastAsia="Cambria" w:hAnsi="Times New Roman"/>
          <w:lang w:val="en-US" w:eastAsia="en-US"/>
        </w:rPr>
        <w:t>is eliminated or reversed</w:t>
      </w:r>
      <w:r w:rsidR="00740426" w:rsidRPr="00D16B79">
        <w:rPr>
          <w:rFonts w:ascii="Times New Roman" w:eastAsia="Cambria" w:hAnsi="Times New Roman"/>
          <w:lang w:val="en-US" w:eastAsia="en-US"/>
        </w:rPr>
        <w:t xml:space="preserve"> w</w:t>
      </w:r>
      <w:r w:rsidR="009A14E5" w:rsidRPr="00D16B79">
        <w:rPr>
          <w:rFonts w:ascii="Times New Roman" w:eastAsia="Cambria" w:hAnsi="Times New Roman"/>
          <w:lang w:val="en-US" w:eastAsia="en-US"/>
        </w:rPr>
        <w:t xml:space="preserve">hen </w:t>
      </w:r>
      <w:r w:rsidR="00740426" w:rsidRPr="00D16B79">
        <w:rPr>
          <w:rFonts w:ascii="Times New Roman" w:eastAsia="Cambria" w:hAnsi="Times New Roman"/>
          <w:lang w:val="en-US" w:eastAsia="en-US"/>
        </w:rPr>
        <w:t xml:space="preserve">relative </w:t>
      </w:r>
      <w:r w:rsidR="009A14E5" w:rsidRPr="00D16B79">
        <w:rPr>
          <w:rFonts w:ascii="Times New Roman" w:eastAsia="Cambria" w:hAnsi="Times New Roman"/>
          <w:lang w:val="en-US" w:eastAsia="en-US"/>
        </w:rPr>
        <w:t xml:space="preserve">need is </w:t>
      </w:r>
      <w:r w:rsidR="00707C82">
        <w:rPr>
          <w:rFonts w:ascii="Times New Roman" w:eastAsia="Cambria" w:hAnsi="Times New Roman"/>
          <w:lang w:val="en-US" w:eastAsia="en-US"/>
        </w:rPr>
        <w:t xml:space="preserve">less salient and </w:t>
      </w:r>
      <w:r w:rsidR="0062098F">
        <w:rPr>
          <w:rFonts w:ascii="Times New Roman" w:eastAsia="Cambria" w:hAnsi="Times New Roman"/>
          <w:iCs/>
          <w:lang w:val="en-US" w:eastAsia="en-US"/>
        </w:rPr>
        <w:t>harder to evaluate</w:t>
      </w:r>
      <w:r w:rsidR="009A14E5" w:rsidRPr="00D16B79">
        <w:rPr>
          <w:rFonts w:ascii="Times New Roman" w:eastAsia="Cambria" w:hAnsi="Times New Roman"/>
          <w:lang w:val="en-US" w:eastAsia="en-US"/>
        </w:rPr>
        <w:t xml:space="preserve">, such as when organizations are </w:t>
      </w:r>
      <w:r w:rsidR="00740426" w:rsidRPr="00D16B79">
        <w:rPr>
          <w:rFonts w:ascii="Times New Roman" w:eastAsia="Cambria" w:hAnsi="Times New Roman"/>
          <w:lang w:val="en-US" w:eastAsia="en-US"/>
        </w:rPr>
        <w:t>presented alone</w:t>
      </w:r>
      <w:r w:rsidR="009D4D3B">
        <w:rPr>
          <w:rFonts w:ascii="Times New Roman" w:eastAsia="Cambria" w:hAnsi="Times New Roman"/>
          <w:lang w:val="en-US" w:eastAsia="en-US"/>
        </w:rPr>
        <w:t>,</w:t>
      </w:r>
      <w:r w:rsidR="00740426" w:rsidRPr="00D16B79">
        <w:rPr>
          <w:rFonts w:ascii="Times New Roman" w:eastAsia="Cambria" w:hAnsi="Times New Roman"/>
          <w:lang w:val="en-US" w:eastAsia="en-US"/>
        </w:rPr>
        <w:t xml:space="preserve"> when</w:t>
      </w:r>
      <w:r w:rsidR="009D4D3B">
        <w:rPr>
          <w:rFonts w:ascii="Times New Roman" w:eastAsia="Cambria" w:hAnsi="Times New Roman"/>
          <w:lang w:val="en-US" w:eastAsia="en-US"/>
        </w:rPr>
        <w:t xml:space="preserve"> the context does not heighten sensitivity to need, such as </w:t>
      </w:r>
      <w:r w:rsidR="00524B4F">
        <w:rPr>
          <w:rFonts w:ascii="Times New Roman" w:eastAsia="Cambria" w:hAnsi="Times New Roman"/>
          <w:lang w:val="en-US" w:eastAsia="en-US"/>
        </w:rPr>
        <w:t>fundra</w:t>
      </w:r>
      <w:r w:rsidR="009D4D3B">
        <w:rPr>
          <w:rFonts w:ascii="Times New Roman" w:eastAsia="Cambria" w:hAnsi="Times New Roman"/>
          <w:lang w:val="en-US" w:eastAsia="en-US"/>
        </w:rPr>
        <w:t>is</w:t>
      </w:r>
      <w:r w:rsidR="00A17D9A">
        <w:rPr>
          <w:rFonts w:ascii="Times New Roman" w:eastAsia="Cambria" w:hAnsi="Times New Roman"/>
          <w:lang w:val="en-US" w:eastAsia="en-US"/>
        </w:rPr>
        <w:t>ing for a for-profit business</w:t>
      </w:r>
      <w:r w:rsidR="00524B4F">
        <w:rPr>
          <w:rFonts w:ascii="Times New Roman" w:eastAsia="Cambria" w:hAnsi="Times New Roman"/>
          <w:lang w:val="en-US" w:eastAsia="en-US"/>
        </w:rPr>
        <w:t xml:space="preserve"> </w:t>
      </w:r>
      <w:r w:rsidR="00503179" w:rsidRPr="00D16B79">
        <w:rPr>
          <w:rFonts w:ascii="Times New Roman" w:eastAsia="Cambria" w:hAnsi="Times New Roman"/>
          <w:lang w:val="en-US" w:eastAsia="en-US"/>
        </w:rPr>
        <w:t>rather than</w:t>
      </w:r>
      <w:r w:rsidR="00A17D9A">
        <w:rPr>
          <w:rFonts w:ascii="Times New Roman" w:eastAsia="Cambria" w:hAnsi="Times New Roman"/>
          <w:lang w:val="en-US" w:eastAsia="en-US"/>
        </w:rPr>
        <w:t xml:space="preserve"> </w:t>
      </w:r>
      <w:r w:rsidR="009D4D3B">
        <w:rPr>
          <w:rFonts w:ascii="Times New Roman" w:eastAsia="Cambria" w:hAnsi="Times New Roman"/>
          <w:lang w:val="en-US" w:eastAsia="en-US"/>
        </w:rPr>
        <w:t xml:space="preserve">for a </w:t>
      </w:r>
      <w:r w:rsidR="00503179" w:rsidRPr="00D16B79">
        <w:rPr>
          <w:rFonts w:ascii="Times New Roman" w:eastAsia="Cambria" w:hAnsi="Times New Roman"/>
          <w:lang w:val="en-US" w:eastAsia="en-US"/>
        </w:rPr>
        <w:t>charity</w:t>
      </w:r>
      <w:r w:rsidR="00707C82">
        <w:rPr>
          <w:rFonts w:ascii="Times New Roman" w:eastAsia="Cambria" w:hAnsi="Times New Roman"/>
          <w:lang w:val="en-US" w:eastAsia="en-US"/>
        </w:rPr>
        <w:t>, or when perceptions of need are weakened, such as when the gap between the charities is smaller</w:t>
      </w:r>
      <w:r w:rsidR="005D0198" w:rsidRPr="00D16B79">
        <w:rPr>
          <w:rFonts w:ascii="Times New Roman" w:eastAsia="Cambria" w:hAnsi="Times New Roman"/>
          <w:lang w:val="en-US" w:eastAsia="en-US"/>
        </w:rPr>
        <w:t>.</w:t>
      </w:r>
    </w:p>
    <w:p w14:paraId="0FE9CD13" w14:textId="38BD5AF0" w:rsidR="006F1106" w:rsidRPr="00D16B79" w:rsidRDefault="003E5B78" w:rsidP="001E0542">
      <w:pPr>
        <w:spacing w:line="480" w:lineRule="auto"/>
        <w:ind w:firstLine="720"/>
        <w:rPr>
          <w:rFonts w:ascii="Times New Roman" w:eastAsia="Cambria" w:hAnsi="Times New Roman"/>
          <w:lang w:val="en-US" w:eastAsia="en-US"/>
        </w:rPr>
      </w:pPr>
      <w:r>
        <w:rPr>
          <w:rFonts w:ascii="Times New Roman" w:eastAsia="Cambria" w:hAnsi="Times New Roman"/>
          <w:lang w:val="en-US" w:eastAsia="en-US"/>
        </w:rPr>
        <w:t>W</w:t>
      </w:r>
      <w:r w:rsidR="001022F4" w:rsidRPr="00D16B79">
        <w:rPr>
          <w:rFonts w:ascii="Times New Roman" w:eastAsia="Cambria" w:hAnsi="Times New Roman"/>
          <w:lang w:val="en-US" w:eastAsia="en-US"/>
        </w:rPr>
        <w:t>e</w:t>
      </w:r>
      <w:r w:rsidR="00A8175A" w:rsidRPr="00D16B79">
        <w:rPr>
          <w:rFonts w:ascii="Times New Roman" w:eastAsia="Cambria" w:hAnsi="Times New Roman"/>
          <w:lang w:val="en-US" w:eastAsia="en-US"/>
        </w:rPr>
        <w:t xml:space="preserve"> </w:t>
      </w:r>
      <w:r w:rsidR="006F1106" w:rsidRPr="00D16B79">
        <w:rPr>
          <w:rFonts w:ascii="Times New Roman" w:eastAsia="Cambria" w:hAnsi="Times New Roman"/>
          <w:lang w:val="en-US" w:eastAsia="en-US"/>
        </w:rPr>
        <w:t xml:space="preserve">build on previous work investigating charitable giving </w:t>
      </w:r>
      <w:r w:rsidR="00CE0378" w:rsidRPr="00D16B79">
        <w:rPr>
          <w:rFonts w:ascii="Times New Roman" w:eastAsia="Cambria" w:hAnsi="Times New Roman"/>
          <w:lang w:val="en-US" w:eastAsia="en-US"/>
        </w:rPr>
        <w:t xml:space="preserve">and </w:t>
      </w:r>
      <w:r w:rsidR="006F1106" w:rsidRPr="00D16B79">
        <w:rPr>
          <w:rFonts w:ascii="Times New Roman" w:eastAsia="Cambria" w:hAnsi="Times New Roman"/>
          <w:lang w:val="en-US" w:eastAsia="en-US"/>
        </w:rPr>
        <w:t xml:space="preserve">make </w:t>
      </w:r>
      <w:r w:rsidR="005527F8" w:rsidRPr="00D16B79">
        <w:rPr>
          <w:rFonts w:ascii="Times New Roman" w:eastAsia="Cambria" w:hAnsi="Times New Roman"/>
          <w:lang w:val="en-US" w:eastAsia="en-US"/>
        </w:rPr>
        <w:t>several</w:t>
      </w:r>
      <w:r w:rsidR="006F1106" w:rsidRPr="00D16B79">
        <w:rPr>
          <w:rFonts w:ascii="Times New Roman" w:eastAsia="Cambria" w:hAnsi="Times New Roman"/>
          <w:lang w:val="en-US" w:eastAsia="en-US"/>
        </w:rPr>
        <w:t xml:space="preserve"> focal contributions. </w:t>
      </w:r>
      <w:r w:rsidR="00B00DF0" w:rsidRPr="00D16B79">
        <w:rPr>
          <w:rFonts w:ascii="Times New Roman" w:eastAsia="Cambria" w:hAnsi="Times New Roman"/>
          <w:lang w:val="en-US" w:eastAsia="en-US"/>
        </w:rPr>
        <w:t>First</w:t>
      </w:r>
      <w:r w:rsidR="006F1106" w:rsidRPr="00D16B79">
        <w:rPr>
          <w:rFonts w:ascii="Times New Roman" w:eastAsia="Cambria" w:hAnsi="Times New Roman"/>
          <w:lang w:val="en-US" w:eastAsia="en-US"/>
        </w:rPr>
        <w:t>,</w:t>
      </w:r>
      <w:r w:rsidR="001022F4" w:rsidRPr="00D16B79">
        <w:rPr>
          <w:rFonts w:ascii="Times New Roman" w:eastAsia="Cambria" w:hAnsi="Times New Roman"/>
          <w:lang w:val="en-US" w:eastAsia="en-US"/>
        </w:rPr>
        <w:t xml:space="preserve"> we </w:t>
      </w:r>
      <w:r w:rsidR="005527F8" w:rsidRPr="00D16B79">
        <w:rPr>
          <w:rFonts w:ascii="Times New Roman" w:eastAsia="Cambria" w:hAnsi="Times New Roman"/>
          <w:lang w:val="en-US" w:eastAsia="en-US"/>
        </w:rPr>
        <w:t>build upon</w:t>
      </w:r>
      <w:r w:rsidR="006F1106" w:rsidRPr="00D16B79">
        <w:rPr>
          <w:rFonts w:ascii="Times New Roman" w:eastAsia="Cambria" w:hAnsi="Times New Roman"/>
          <w:lang w:val="en-US" w:eastAsia="en-US"/>
        </w:rPr>
        <w:t xml:space="preserve"> the </w:t>
      </w:r>
      <w:r w:rsidR="00B41D97" w:rsidRPr="00D16B79">
        <w:rPr>
          <w:rFonts w:ascii="Times New Roman" w:eastAsia="Cambria" w:hAnsi="Times New Roman"/>
          <w:lang w:val="en-US" w:eastAsia="en-US"/>
        </w:rPr>
        <w:t>goal progress literature</w:t>
      </w:r>
      <w:r w:rsidR="006F1106" w:rsidRPr="00D16B79">
        <w:rPr>
          <w:rFonts w:ascii="Times New Roman" w:eastAsia="Cambria" w:hAnsi="Times New Roman"/>
          <w:lang w:val="en-US" w:eastAsia="en-US"/>
        </w:rPr>
        <w:t xml:space="preserve">. Previous research </w:t>
      </w:r>
      <w:r w:rsidR="00CC61EE" w:rsidRPr="00D16B79">
        <w:rPr>
          <w:rFonts w:ascii="Times New Roman" w:eastAsia="Cambria" w:hAnsi="Times New Roman"/>
          <w:lang w:val="en-US" w:eastAsia="en-US"/>
        </w:rPr>
        <w:t>on goal progress demonstrates greater motivation to reach a goal at both low and high levels of progress depending on</w:t>
      </w:r>
      <w:r w:rsidR="00707C82">
        <w:rPr>
          <w:rFonts w:ascii="Times New Roman" w:eastAsia="Cambria" w:hAnsi="Times New Roman"/>
          <w:lang w:val="en-US" w:eastAsia="en-US"/>
        </w:rPr>
        <w:t xml:space="preserve"> the</w:t>
      </w:r>
      <w:r w:rsidR="00CC61EE" w:rsidRPr="00D16B79">
        <w:rPr>
          <w:rFonts w:ascii="Times New Roman" w:eastAsia="Cambria" w:hAnsi="Times New Roman"/>
          <w:lang w:val="en-US" w:eastAsia="en-US"/>
        </w:rPr>
        <w:t xml:space="preserve"> inference</w:t>
      </w:r>
      <w:r>
        <w:rPr>
          <w:rFonts w:ascii="Times New Roman" w:eastAsia="Cambria" w:hAnsi="Times New Roman"/>
          <w:lang w:val="en-US" w:eastAsia="en-US"/>
        </w:rPr>
        <w:t>s</w:t>
      </w:r>
      <w:r w:rsidR="00CC61EE" w:rsidRPr="00D16B79">
        <w:rPr>
          <w:rFonts w:ascii="Times New Roman" w:eastAsia="Cambria" w:hAnsi="Times New Roman"/>
          <w:lang w:val="en-US" w:eastAsia="en-US"/>
        </w:rPr>
        <w:t xml:space="preserve"> consumers make. For instance, research </w:t>
      </w:r>
      <w:r w:rsidR="005865EF" w:rsidRPr="00D16B79">
        <w:rPr>
          <w:rFonts w:ascii="Times New Roman" w:eastAsia="Cambria" w:hAnsi="Times New Roman"/>
          <w:lang w:val="en-US" w:eastAsia="en-US"/>
        </w:rPr>
        <w:t xml:space="preserve">on the goal gradient effect </w:t>
      </w:r>
      <w:r w:rsidR="006F1106" w:rsidRPr="00D16B79">
        <w:rPr>
          <w:rFonts w:ascii="Times New Roman" w:eastAsia="Cambria" w:hAnsi="Times New Roman"/>
          <w:lang w:val="en-US" w:eastAsia="en-US"/>
        </w:rPr>
        <w:t>has shown greater</w:t>
      </w:r>
      <w:r w:rsidR="00B81EB9" w:rsidRPr="00D16B79">
        <w:rPr>
          <w:rFonts w:ascii="Times New Roman" w:eastAsia="Cambria" w:hAnsi="Times New Roman"/>
          <w:lang w:val="en-US" w:eastAsia="en-US"/>
        </w:rPr>
        <w:t xml:space="preserve"> </w:t>
      </w:r>
      <w:r w:rsidR="005527F8" w:rsidRPr="00D16B79">
        <w:rPr>
          <w:rFonts w:ascii="Times New Roman" w:eastAsia="Cambria" w:hAnsi="Times New Roman"/>
          <w:lang w:val="en-US" w:eastAsia="en-US"/>
        </w:rPr>
        <w:t xml:space="preserve">subsequent </w:t>
      </w:r>
      <w:r w:rsidR="00B81EB9" w:rsidRPr="00D16B79">
        <w:rPr>
          <w:rFonts w:ascii="Times New Roman" w:eastAsia="Cambria" w:hAnsi="Times New Roman"/>
          <w:lang w:val="en-US" w:eastAsia="en-US"/>
        </w:rPr>
        <w:t>effort and</w:t>
      </w:r>
      <w:r w:rsidR="006F1106" w:rsidRPr="00D16B79">
        <w:rPr>
          <w:rFonts w:ascii="Times New Roman" w:eastAsia="Cambria" w:hAnsi="Times New Roman"/>
          <w:lang w:val="en-US" w:eastAsia="en-US"/>
        </w:rPr>
        <w:t xml:space="preserve"> progress towards a goal when an organization or individual is close</w:t>
      </w:r>
      <w:r w:rsidR="004217EA" w:rsidRPr="00D16B79">
        <w:rPr>
          <w:rFonts w:ascii="Times New Roman" w:eastAsia="Cambria" w:hAnsi="Times New Roman"/>
          <w:lang w:val="en-US" w:eastAsia="en-US"/>
        </w:rPr>
        <w:t>r</w:t>
      </w:r>
      <w:r w:rsidR="006F1106" w:rsidRPr="00D16B79">
        <w:rPr>
          <w:rFonts w:ascii="Times New Roman" w:eastAsia="Cambria" w:hAnsi="Times New Roman"/>
          <w:lang w:val="en-US" w:eastAsia="en-US"/>
        </w:rPr>
        <w:t xml:space="preserve"> to reaching it </w:t>
      </w:r>
      <w:r w:rsidR="006F1106"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{"citationID":"OTvXvqyk","properties":{"formattedCitation":"(Cryder, Loewenstein, and Seltman 2013; Kivetz, Urminsky, and Zheng 2006)","plainCitation":"(Cryder, Loewenstein, and Seltman 2013; Kivetz, Urminsky, and Zheng 2006)","noteIndex":0},"citationItems":[{"id":2335,"uris":["http://zotero.org/users/4606674/items/KQ6ICYYK"],"itemData":{"id":2335,"type":"article-journal","abstract":"People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E."},{"family":"Loewenstein","given":"George"},{"family":"Seltman","given":"Howard"}],"issued":{"date-parts":[["2013",11,1]]}}},{"id":2336,"uris":["http://zotero.org/users/4606674/items/CXXY285Z"],"itemData":{"id":2336,"type":"article-journal","abstract":"The goal-gradient hypothesis denotes the classic finding from behaviorism that animals expend more effort as they approach a reward. Building on this hypothesis, the authors generate new propositions for the human psychology of rewards. They test these propositions using field experiments, secondary customer data, paper-and-pencil problems, and Tobit and logit models. The key findings indicate that (1) participants in a real café reward program purchase coffee more frequently the closer they are to earning a free coffee; (2) Internet users who rate songs in return for reward certificates visit the rating Web site more often, rate more songs per visit, and persist longer in the rating effort as they approach the reward goal; (3) the illusion of progress toward the goal induces purchase acceleration (e.g., customers who receive a 12-stamp coffee card with 2 preexisting “bonus” stamps complete the 10 required purchases faster than customers who receive a “regular” 10-stamp card); and (4) a stronger tendency to accelerate toward the goal predicts greater retention and faster reengagement in the program. The conceptualization and empirical findings are captured by a parsimonious goal-distance model, in which effort investment is a function of the proportion of original distance remaining to the goal. In addition, using statistical and experimental controls, the authors rule out alternative explanations for the observed goal gradients. They discuss the theoretical significance of their findings and the managerial implications for incentive systems, promotions, and customer retention.","container-title":"Journal of Marketing Research","DOI":"10.1509/jmkr.43.1.39","ISSN":"0022-2437","issue":"1","journalAbbreviation":"Journal of Marketing Research","language":"en","page":"39-58","source":"SAGE Journals","title":"The Goal-Gradient Hypothesis Resurrected: Purchase Acceleration, Illusionary Goal Progress, and Customer Retention","title-short":"The Goal-Gradient Hypothesis Resurrected","volume":"43","author":[{"family":"Kivetz","given":"Ran"},{"family":"Urminsky","given":"Oleg"},{"family":"Zheng","given":"Yuhuang"}],"issued":{"date-parts":[["2006",2,1]]}}}],"schema":"https://github.com/citation-style-language/schema/raw/master/csl-citation.json"} </w:instrText>
      </w:r>
      <w:r w:rsidR="006F1106" w:rsidRPr="00D16B79">
        <w:rPr>
          <w:rFonts w:ascii="Times New Roman" w:eastAsia="Cambria" w:hAnsi="Times New Roman"/>
          <w:lang w:val="en-US" w:eastAsia="en-US"/>
        </w:rPr>
        <w:fldChar w:fldCharType="separate"/>
      </w:r>
      <w:r w:rsidR="00FA5441" w:rsidRPr="00D16B79">
        <w:rPr>
          <w:rFonts w:ascii="Times New Roman" w:hAnsi="Times New Roman"/>
          <w:lang w:val="en-US"/>
        </w:rPr>
        <w:t>(Cryder, Loewenstein, and Seltman 2013; Kivetz, Urminsky, and Zheng 2006)</w:t>
      </w:r>
      <w:r w:rsidR="006F1106" w:rsidRPr="00D16B79">
        <w:rPr>
          <w:rFonts w:ascii="Times New Roman" w:eastAsia="Cambria" w:hAnsi="Times New Roman"/>
          <w:lang w:val="en-US" w:eastAsia="en-US"/>
        </w:rPr>
        <w:fldChar w:fldCharType="end"/>
      </w:r>
      <w:r w:rsidR="006F1106" w:rsidRPr="00D16B79">
        <w:rPr>
          <w:rFonts w:ascii="Times New Roman" w:eastAsia="Cambria" w:hAnsi="Times New Roman"/>
          <w:lang w:val="en-US" w:eastAsia="en-US"/>
        </w:rPr>
        <w:t xml:space="preserve">. </w:t>
      </w:r>
      <w:r w:rsidR="00C009AC" w:rsidRPr="00D16B79">
        <w:rPr>
          <w:rFonts w:ascii="Times New Roman" w:eastAsia="Cambria" w:hAnsi="Times New Roman"/>
          <w:lang w:val="en-US" w:eastAsia="en-US"/>
        </w:rPr>
        <w:t xml:space="preserve">In contrast, </w:t>
      </w:r>
      <w:r w:rsidR="00C824BF">
        <w:rPr>
          <w:rFonts w:ascii="Times New Roman" w:eastAsia="Cambria" w:hAnsi="Times New Roman"/>
          <w:lang w:val="en-US" w:eastAsia="en-US"/>
        </w:rPr>
        <w:t xml:space="preserve">as people make progress towards a goal, they </w:t>
      </w:r>
      <w:r>
        <w:rPr>
          <w:rFonts w:ascii="Times New Roman" w:eastAsia="Cambria" w:hAnsi="Times New Roman"/>
          <w:lang w:val="en-US" w:eastAsia="en-US"/>
        </w:rPr>
        <w:t>will sometimes</w:t>
      </w:r>
      <w:r w:rsidRPr="00D16B79">
        <w:rPr>
          <w:rFonts w:ascii="Times New Roman" w:eastAsia="Cambria" w:hAnsi="Times New Roman"/>
          <w:lang w:val="en-US" w:eastAsia="en-US"/>
        </w:rPr>
        <w:t xml:space="preserve"> </w:t>
      </w:r>
      <w:r w:rsidR="0007304E" w:rsidRPr="00D16B79">
        <w:rPr>
          <w:rFonts w:ascii="Times New Roman" w:eastAsia="Cambria" w:hAnsi="Times New Roman"/>
          <w:lang w:val="en-US" w:eastAsia="en-US"/>
        </w:rPr>
        <w:t xml:space="preserve">switch to conflicting goals </w:t>
      </w:r>
      <w:r w:rsidR="00CC61EE" w:rsidRPr="00D16B79">
        <w:rPr>
          <w:rFonts w:ascii="Times New Roman" w:eastAsia="Cambria" w:hAnsi="Times New Roman"/>
          <w:lang w:val="en-US" w:eastAsia="en-US"/>
        </w:rPr>
        <w:t xml:space="preserve">with lower progress </w:t>
      </w:r>
      <w:r w:rsidR="00277BA0"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{"citationID":"dPqID4zX","properties":{"formattedCitation":"(Fishbach and Dhar 2005)","plainCitation":"(Fishbach and Dhar 2005)","noteIndex":0},"citationItems":[{"id":1126,"uris":["http://zotero.org/users/4606674/items/J2A8JX4E"],"itemData":{"id":1126,"type":"article-journal","abstract":"Consumer choices are often driven by multiple goals (e.g., career and family), each of which if viewed in isolation may appear to suggest conflicting choices. This article examines the effect of initial goal pursuit on consumers’ interest in pursuing unrelated or even conflicting goals. Four studies were conducted to test whether perceived goal progress hinders the pursuit of the focal goal. These studies demonstrate that in the course of self‐regulation progress along one goal liberates people to pursue inconsistent goals. Furthermore, merely planning to make goal progress in the future may facilitate incongruent choice of immediate action.","container-title":"Journal of Consumer Research","DOI":"10.1086/497548","ISSN":"0093-5301","issue":"3","journalAbbreviation":"Journal of Consumer Research","license":"Copyright © 2005 Journal of Consumer Research, Inc.","page":"370-377","source":"JSTOR","title":"Goals as Excuses or Guides: The Liberating Effect of Perceived Goal Progress on Choice","title-short":"Goals as Excuses or Guides","volume":"32","author":[{"family":"Fishbach","given":"Ayelet"},{"family":"Dhar","given":"Ravi"}],"issued":{"date-parts":[["2005",12,1]]}}}],"schema":"https://github.com/citation-style-language/schema/raw/master/csl-citation.json"} </w:instrText>
      </w:r>
      <w:r w:rsidR="00277BA0" w:rsidRPr="00D16B79">
        <w:rPr>
          <w:rFonts w:ascii="Times New Roman" w:eastAsia="Cambria" w:hAnsi="Times New Roman"/>
          <w:lang w:val="en-US" w:eastAsia="en-US"/>
        </w:rPr>
        <w:fldChar w:fldCharType="separate"/>
      </w:r>
      <w:r w:rsidR="00277BA0" w:rsidRPr="00D16B79">
        <w:rPr>
          <w:rFonts w:ascii="Times New Roman" w:hAnsi="Times New Roman"/>
          <w:lang w:val="en-US"/>
        </w:rPr>
        <w:t>(Fishbach and Dhar 2005)</w:t>
      </w:r>
      <w:r w:rsidR="00277BA0" w:rsidRPr="00D16B79">
        <w:rPr>
          <w:rFonts w:ascii="Times New Roman" w:eastAsia="Cambria" w:hAnsi="Times New Roman"/>
          <w:lang w:val="en-US" w:eastAsia="en-US"/>
        </w:rPr>
        <w:fldChar w:fldCharType="end"/>
      </w:r>
      <w:r w:rsidR="0007304E" w:rsidRPr="00D16B79">
        <w:rPr>
          <w:rFonts w:ascii="Times New Roman" w:eastAsia="Cambria" w:hAnsi="Times New Roman"/>
          <w:lang w:val="en-US" w:eastAsia="en-US"/>
        </w:rPr>
        <w:t xml:space="preserve"> or put in more effort </w:t>
      </w:r>
      <w:r w:rsidR="002F0AAB">
        <w:rPr>
          <w:rFonts w:ascii="Times New Roman" w:eastAsia="Cambria" w:hAnsi="Times New Roman"/>
          <w:lang w:val="en-US" w:eastAsia="en-US"/>
        </w:rPr>
        <w:t xml:space="preserve">when their attention is directed towards </w:t>
      </w:r>
      <w:r w:rsidR="005E258B">
        <w:rPr>
          <w:rFonts w:ascii="Times New Roman" w:eastAsia="Cambria" w:hAnsi="Times New Roman"/>
          <w:lang w:val="en-US" w:eastAsia="en-US"/>
        </w:rPr>
        <w:t>a</w:t>
      </w:r>
      <w:r w:rsidR="002F0AAB">
        <w:rPr>
          <w:rFonts w:ascii="Times New Roman" w:eastAsia="Cambria" w:hAnsi="Times New Roman"/>
          <w:lang w:val="en-US" w:eastAsia="en-US"/>
        </w:rPr>
        <w:t xml:space="preserve"> </w:t>
      </w:r>
      <w:r w:rsidR="0026730C">
        <w:rPr>
          <w:rFonts w:ascii="Times New Roman" w:eastAsia="Cambria" w:hAnsi="Times New Roman"/>
          <w:lang w:val="en-US" w:eastAsia="en-US"/>
        </w:rPr>
        <w:t>domain with less progress</w:t>
      </w:r>
      <w:r w:rsidR="003278F8">
        <w:rPr>
          <w:rFonts w:ascii="Times New Roman" w:eastAsia="Cambria" w:hAnsi="Times New Roman"/>
          <w:lang w:val="en-US" w:eastAsia="en-US"/>
        </w:rPr>
        <w:t xml:space="preserve">, altering goal representation in </w:t>
      </w:r>
      <w:r w:rsidR="005E258B">
        <w:rPr>
          <w:rFonts w:ascii="Times New Roman" w:eastAsia="Cambria" w:hAnsi="Times New Roman"/>
          <w:lang w:val="en-US" w:eastAsia="en-US"/>
        </w:rPr>
        <w:t>consumers’ minds</w:t>
      </w:r>
      <w:r w:rsidR="0007304E" w:rsidRPr="00D16B79">
        <w:rPr>
          <w:rFonts w:ascii="Times New Roman" w:eastAsia="Cambria" w:hAnsi="Times New Roman"/>
          <w:lang w:val="en-US" w:eastAsia="en-US"/>
        </w:rPr>
        <w:t xml:space="preserve"> </w:t>
      </w:r>
      <w:r w:rsidR="00277BA0"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{"citationID":"vv2dmVdm","properties":{"formattedCitation":"(Huang, Zhang, and Broniarczyk 2012; Koo and Fishbach 2012)","plainCitation":"(Huang, Zhang, and Broniarczyk 2012; Koo and Fishbach 2012)","noteIndex":0},"citationItems":[{"id":1889,"uris":["http://zotero.org/users/4606674/items/NWZRJF3T"],"itemData":{"id":1889,"type":"article-journal","abstract":"In the present article, we explore whether people's mental representation of progress level can function as a self-regulation mechanism that helps motivate continued effort in the pursuit. We propose that when individuals have just started pursuing a goal and have accumulated only limited progress, they exaggerate the achieved progress level in their mental representation to signal a higher chance of eventual goal attainment and thus elicit greater effort. In contrast, when people have made substantial progress and are approaching the goal attainment, they downplay the achieved progress in their mental representation to create greater perceived discrepancy, hence eliciting greater effort. Empirical evidence from 4 studies supported the hypothesis. (PsycINFO Database Record (c) 2016 APA, all rights reserved)","container-title":"Journal of Personality and Social Psychology","DOI":"10.1037/a0028443","ISSN":"1939-1315(Electronic),0022-3514(Print)","issue":"2","note":"publisher-place: US\npublisher: American Psychological Association","page":"225-241","source":"APA PsycNET","title":"So Near and yet so Far: The Mental Representation of Goal Progress","title-short":"So Near and yet so Far","volume":"103","author":[{"family":"Huang","given":"Szu-chi"},{"family":"Zhang","given":"Ying"},{"family":"Broniarczyk","given":"Susan M."}],"issued":{"date-parts":[["2012"]]}}},{"id":2323,"uris":["http://zotero.org/users/4606674/items/U2NESV2V"],"itemData":{"id":2323,"type":"article-journal","container-title":"Journal of Consumer Research","issue":"3","note":"publisher: University of Chicago Press Chicago, IL","page":"493–509","source":"Google Scholar","title":"The Small-Area Hypothesis: Effects of Progress Monitoring on Goal Adherence","title-short":"The Small-Area Hypothesis","volume":"39","author":[{"family":"Koo","given":"Minjung"},{"family":"Fishbach","given":"Ayelet"}],"issued":{"date-parts":[["2012"]]}}}],"schema":"https://github.com/citation-style-language/schema/raw/master/csl-citation.json"} </w:instrText>
      </w:r>
      <w:r w:rsidR="00277BA0" w:rsidRPr="00D16B79">
        <w:rPr>
          <w:rFonts w:ascii="Times New Roman" w:eastAsia="Cambria" w:hAnsi="Times New Roman"/>
          <w:lang w:val="en-US" w:eastAsia="en-US"/>
        </w:rPr>
        <w:fldChar w:fldCharType="separate"/>
      </w:r>
      <w:r w:rsidR="00183929" w:rsidRPr="00D16B79">
        <w:rPr>
          <w:rFonts w:ascii="Times New Roman" w:hAnsi="Times New Roman"/>
          <w:lang w:val="en-US"/>
        </w:rPr>
        <w:t>(Huang, Zhang, and Broniarczyk 2012; Koo and Fishbach 2012)</w:t>
      </w:r>
      <w:r w:rsidR="00277BA0" w:rsidRPr="00D16B79">
        <w:rPr>
          <w:rFonts w:ascii="Times New Roman" w:eastAsia="Cambria" w:hAnsi="Times New Roman"/>
          <w:lang w:val="en-US" w:eastAsia="en-US"/>
        </w:rPr>
        <w:fldChar w:fldCharType="end"/>
      </w:r>
      <w:r w:rsidR="00C009AC" w:rsidRPr="00D16B79">
        <w:rPr>
          <w:rFonts w:ascii="Times New Roman" w:eastAsia="Cambria" w:hAnsi="Times New Roman"/>
          <w:lang w:val="en-US" w:eastAsia="en-US"/>
        </w:rPr>
        <w:t xml:space="preserve">. </w:t>
      </w:r>
      <w:r w:rsidR="004217EA" w:rsidRPr="00D16B79">
        <w:rPr>
          <w:rFonts w:ascii="Times New Roman" w:eastAsia="Cambria" w:hAnsi="Times New Roman"/>
          <w:lang w:val="en-US" w:eastAsia="en-US"/>
        </w:rPr>
        <w:t>W</w:t>
      </w:r>
      <w:r w:rsidR="001022F4" w:rsidRPr="00D16B79">
        <w:rPr>
          <w:rFonts w:ascii="Times New Roman" w:eastAsia="Cambria" w:hAnsi="Times New Roman"/>
          <w:lang w:val="en-US" w:eastAsia="en-US"/>
        </w:rPr>
        <w:t xml:space="preserve">e </w:t>
      </w:r>
      <w:r w:rsidR="006F1106" w:rsidRPr="00D16B79">
        <w:rPr>
          <w:rFonts w:ascii="Times New Roman" w:eastAsia="Cambria" w:hAnsi="Times New Roman"/>
          <w:lang w:val="en-US" w:eastAsia="en-US"/>
        </w:rPr>
        <w:t xml:space="preserve">add to this literature by </w:t>
      </w:r>
      <w:r w:rsidR="00AF6B13" w:rsidRPr="00D16B79">
        <w:rPr>
          <w:rFonts w:ascii="Times New Roman" w:eastAsia="Cambria" w:hAnsi="Times New Roman"/>
          <w:lang w:val="en-US" w:eastAsia="en-US"/>
        </w:rPr>
        <w:t xml:space="preserve">uncovering </w:t>
      </w:r>
      <w:r w:rsidR="00795B19" w:rsidRPr="00D16B79">
        <w:rPr>
          <w:rFonts w:ascii="Times New Roman" w:eastAsia="Cambria" w:hAnsi="Times New Roman"/>
          <w:lang w:val="en-US" w:eastAsia="en-US"/>
        </w:rPr>
        <w:t xml:space="preserve">a </w:t>
      </w:r>
      <w:r w:rsidR="00AF6B13" w:rsidRPr="00D16B79">
        <w:rPr>
          <w:rFonts w:ascii="Times New Roman" w:eastAsia="Cambria" w:hAnsi="Times New Roman"/>
          <w:lang w:val="en-US" w:eastAsia="en-US"/>
        </w:rPr>
        <w:t>novel</w:t>
      </w:r>
      <w:r>
        <w:rPr>
          <w:rFonts w:ascii="Times New Roman" w:eastAsia="Cambria" w:hAnsi="Times New Roman"/>
          <w:lang w:val="en-US" w:eastAsia="en-US"/>
        </w:rPr>
        <w:t xml:space="preserve">, </w:t>
      </w:r>
      <w:r w:rsidR="00FF21B3" w:rsidRPr="00D16B79">
        <w:rPr>
          <w:rFonts w:ascii="Times New Roman" w:eastAsia="Cambria" w:hAnsi="Times New Roman"/>
          <w:lang w:val="en-US" w:eastAsia="en-US"/>
        </w:rPr>
        <w:t xml:space="preserve">previously untested </w:t>
      </w:r>
      <w:r w:rsidR="00AF6B13" w:rsidRPr="00D16B79">
        <w:rPr>
          <w:rFonts w:ascii="Times New Roman" w:eastAsia="Cambria" w:hAnsi="Times New Roman"/>
          <w:lang w:val="en-US" w:eastAsia="en-US"/>
        </w:rPr>
        <w:t>factor</w:t>
      </w:r>
      <w:r w:rsidR="00795B19" w:rsidRPr="00D16B79">
        <w:rPr>
          <w:rFonts w:ascii="Times New Roman" w:eastAsia="Cambria" w:hAnsi="Times New Roman"/>
          <w:lang w:val="en-US" w:eastAsia="en-US"/>
        </w:rPr>
        <w:t xml:space="preserve"> </w:t>
      </w:r>
      <w:r w:rsidR="00AF6B13" w:rsidRPr="00D16B79">
        <w:rPr>
          <w:rFonts w:ascii="Times New Roman" w:eastAsia="Cambria" w:hAnsi="Times New Roman"/>
          <w:lang w:val="en-US" w:eastAsia="en-US"/>
        </w:rPr>
        <w:t xml:space="preserve">that reliably </w:t>
      </w:r>
      <w:r w:rsidR="00CC61EE" w:rsidRPr="00D16B79">
        <w:rPr>
          <w:rFonts w:ascii="Times New Roman" w:eastAsia="Cambria" w:hAnsi="Times New Roman"/>
          <w:lang w:val="en-US" w:eastAsia="en-US"/>
        </w:rPr>
        <w:t>shifts preferences towards the lower progress option</w:t>
      </w:r>
      <w:r w:rsidR="006F1106" w:rsidRPr="00D16B79">
        <w:rPr>
          <w:rFonts w:ascii="Times New Roman" w:eastAsia="Cambria" w:hAnsi="Times New Roman"/>
          <w:lang w:val="en-US" w:eastAsia="en-US"/>
        </w:rPr>
        <w:t>. Specifically,</w:t>
      </w:r>
      <w:r w:rsidR="001022F4" w:rsidRPr="00D16B79">
        <w:rPr>
          <w:rFonts w:ascii="Times New Roman" w:eastAsia="Cambria" w:hAnsi="Times New Roman"/>
          <w:lang w:val="en-US" w:eastAsia="en-US"/>
        </w:rPr>
        <w:t xml:space="preserve"> </w:t>
      </w:r>
      <w:r w:rsidR="00947648" w:rsidRPr="00D16B79">
        <w:rPr>
          <w:rFonts w:ascii="Times New Roman" w:eastAsia="Cambria" w:hAnsi="Times New Roman"/>
          <w:lang w:val="en-US" w:eastAsia="en-US"/>
        </w:rPr>
        <w:t>w</w:t>
      </w:r>
      <w:r w:rsidR="001022F4" w:rsidRPr="00D16B79">
        <w:rPr>
          <w:rFonts w:ascii="Times New Roman" w:eastAsia="Cambria" w:hAnsi="Times New Roman"/>
          <w:lang w:val="en-US" w:eastAsia="en-US"/>
        </w:rPr>
        <w:t xml:space="preserve">e </w:t>
      </w:r>
      <w:r w:rsidR="005527F8" w:rsidRPr="00D16B79">
        <w:rPr>
          <w:rFonts w:ascii="Times New Roman" w:eastAsia="Cambria" w:hAnsi="Times New Roman"/>
          <w:lang w:val="en-US" w:eastAsia="en-US"/>
        </w:rPr>
        <w:t xml:space="preserve">show </w:t>
      </w:r>
      <w:r w:rsidR="006F1106" w:rsidRPr="00D16B79">
        <w:rPr>
          <w:rFonts w:ascii="Times New Roman" w:eastAsia="Cambria" w:hAnsi="Times New Roman"/>
          <w:lang w:val="en-US" w:eastAsia="en-US"/>
        </w:rPr>
        <w:t xml:space="preserve">that when </w:t>
      </w:r>
      <w:r w:rsidR="0026730C">
        <w:rPr>
          <w:rFonts w:ascii="Times New Roman" w:eastAsia="Cambria" w:hAnsi="Times New Roman"/>
          <w:lang w:val="en-US" w:eastAsia="en-US"/>
        </w:rPr>
        <w:t xml:space="preserve">charitable causes are </w:t>
      </w:r>
      <w:r w:rsidR="006F1106" w:rsidRPr="00D16B79">
        <w:rPr>
          <w:rFonts w:ascii="Times New Roman" w:eastAsia="Cambria" w:hAnsi="Times New Roman"/>
          <w:lang w:val="en-US" w:eastAsia="en-US"/>
        </w:rPr>
        <w:t>evaluated jointly</w:t>
      </w:r>
      <w:r w:rsidR="0026730C">
        <w:rPr>
          <w:rFonts w:ascii="Times New Roman" w:eastAsia="Cambria" w:hAnsi="Times New Roman"/>
          <w:lang w:val="en-US" w:eastAsia="en-US"/>
        </w:rPr>
        <w:t xml:space="preserve"> (vs. separately)</w:t>
      </w:r>
      <w:r w:rsidR="00795B19" w:rsidRPr="00D16B79">
        <w:rPr>
          <w:rFonts w:ascii="Times New Roman" w:eastAsia="Cambria" w:hAnsi="Times New Roman"/>
          <w:lang w:val="en-US" w:eastAsia="en-US"/>
        </w:rPr>
        <w:t xml:space="preserve">, </w:t>
      </w:r>
      <w:r w:rsidR="006F1106" w:rsidRPr="00D16B79">
        <w:rPr>
          <w:rFonts w:ascii="Times New Roman" w:eastAsia="Cambria" w:hAnsi="Times New Roman"/>
          <w:lang w:val="en-US" w:eastAsia="en-US"/>
        </w:rPr>
        <w:t xml:space="preserve">people are more likely to support the </w:t>
      </w:r>
      <w:r w:rsidR="00183929" w:rsidRPr="00D16B79">
        <w:rPr>
          <w:rFonts w:ascii="Times New Roman" w:eastAsia="Cambria" w:hAnsi="Times New Roman"/>
          <w:lang w:val="en-US" w:eastAsia="en-US"/>
        </w:rPr>
        <w:t>option</w:t>
      </w:r>
      <w:r w:rsidR="006F1106" w:rsidRPr="00D16B79">
        <w:rPr>
          <w:rFonts w:ascii="Times New Roman" w:eastAsia="Cambria" w:hAnsi="Times New Roman"/>
          <w:lang w:val="en-US" w:eastAsia="en-US"/>
        </w:rPr>
        <w:t xml:space="preserve"> that is </w:t>
      </w:r>
      <w:r w:rsidR="003C404E" w:rsidRPr="00D16B79">
        <w:rPr>
          <w:rFonts w:ascii="Times New Roman" w:eastAsia="Cambria" w:hAnsi="Times New Roman"/>
          <w:lang w:val="en-US" w:eastAsia="en-US"/>
        </w:rPr>
        <w:t>farther</w:t>
      </w:r>
      <w:r w:rsidR="006F1106" w:rsidRPr="00D16B79">
        <w:rPr>
          <w:rFonts w:ascii="Times New Roman" w:eastAsia="Cambria" w:hAnsi="Times New Roman"/>
          <w:lang w:val="en-US" w:eastAsia="en-US"/>
        </w:rPr>
        <w:t xml:space="preserve"> from its goal. </w:t>
      </w:r>
      <w:r w:rsidR="0007304E" w:rsidRPr="00D16B79">
        <w:rPr>
          <w:rFonts w:ascii="Times New Roman" w:eastAsia="Cambria" w:hAnsi="Times New Roman"/>
          <w:lang w:val="en-US" w:eastAsia="en-US"/>
        </w:rPr>
        <w:t>Our research</w:t>
      </w:r>
      <w:r w:rsidR="00503179" w:rsidRPr="00D16B79">
        <w:rPr>
          <w:rFonts w:ascii="Times New Roman" w:eastAsia="Cambria" w:hAnsi="Times New Roman"/>
          <w:lang w:val="en-US" w:eastAsia="en-US"/>
        </w:rPr>
        <w:t xml:space="preserve"> </w:t>
      </w:r>
      <w:r w:rsidR="002A4202" w:rsidRPr="00D16B79">
        <w:rPr>
          <w:rFonts w:ascii="Times New Roman" w:eastAsia="Cambria" w:hAnsi="Times New Roman"/>
          <w:lang w:val="en-US" w:eastAsia="en-US"/>
        </w:rPr>
        <w:t xml:space="preserve">thus </w:t>
      </w:r>
      <w:r w:rsidR="00F31E4B" w:rsidRPr="00D16B79">
        <w:rPr>
          <w:rFonts w:ascii="Times New Roman" w:eastAsia="Cambria" w:hAnsi="Times New Roman"/>
          <w:lang w:val="en-US" w:eastAsia="en-US"/>
        </w:rPr>
        <w:t xml:space="preserve">contributes to </w:t>
      </w:r>
      <w:r w:rsidR="00503179" w:rsidRPr="00D16B79">
        <w:rPr>
          <w:rFonts w:ascii="Times New Roman" w:eastAsia="Cambria" w:hAnsi="Times New Roman"/>
          <w:lang w:val="en-US" w:eastAsia="en-US"/>
        </w:rPr>
        <w:t xml:space="preserve">work on balancing </w:t>
      </w:r>
      <w:r w:rsidR="00EB3635" w:rsidRPr="00D16B79">
        <w:rPr>
          <w:rFonts w:ascii="Times New Roman" w:eastAsia="Cambria" w:hAnsi="Times New Roman"/>
          <w:lang w:val="en-US" w:eastAsia="en-US"/>
        </w:rPr>
        <w:t xml:space="preserve">multiple goals </w:t>
      </w:r>
      <w:r w:rsidR="00503179" w:rsidRPr="00D16B79">
        <w:rPr>
          <w:rFonts w:ascii="Times New Roman" w:eastAsia="Cambria" w:hAnsi="Times New Roman"/>
          <w:lang w:val="en-US" w:eastAsia="en-US"/>
        </w:rPr>
        <w:t>(</w:t>
      </w:r>
      <w:r w:rsidR="00F26309" w:rsidRPr="00D16B79">
        <w:rPr>
          <w:rFonts w:ascii="Times New Roman" w:eastAsia="Cambria" w:hAnsi="Times New Roman"/>
          <w:lang w:val="en-US" w:eastAsia="en-US"/>
        </w:rPr>
        <w:t xml:space="preserve">Fishbach </w:t>
      </w:r>
      <w:r w:rsidR="008F2464" w:rsidRPr="00D16B79">
        <w:rPr>
          <w:rFonts w:ascii="Times New Roman" w:eastAsia="Cambria" w:hAnsi="Times New Roman"/>
          <w:lang w:val="en-US" w:eastAsia="en-US"/>
        </w:rPr>
        <w:t>and</w:t>
      </w:r>
      <w:r w:rsidR="00F26309" w:rsidRPr="00D16B79">
        <w:rPr>
          <w:rFonts w:ascii="Times New Roman" w:eastAsia="Cambria" w:hAnsi="Times New Roman"/>
          <w:lang w:val="en-US" w:eastAsia="en-US"/>
        </w:rPr>
        <w:t xml:space="preserve"> Dhar 2005</w:t>
      </w:r>
      <w:r w:rsidR="00503179" w:rsidRPr="00D16B79">
        <w:rPr>
          <w:rFonts w:ascii="Times New Roman" w:eastAsia="Cambria" w:hAnsi="Times New Roman"/>
          <w:lang w:val="en-US" w:eastAsia="en-US"/>
        </w:rPr>
        <w:t>)</w:t>
      </w:r>
      <w:r w:rsidR="00EB3635" w:rsidRPr="00D16B79">
        <w:rPr>
          <w:rFonts w:ascii="Times New Roman" w:eastAsia="Cambria" w:hAnsi="Times New Roman"/>
          <w:lang w:val="en-US" w:eastAsia="en-US"/>
        </w:rPr>
        <w:t xml:space="preserve">, </w:t>
      </w:r>
      <w:r w:rsidR="00CC61EE" w:rsidRPr="00D16B79">
        <w:rPr>
          <w:rFonts w:ascii="Times New Roman" w:eastAsia="Cambria" w:hAnsi="Times New Roman"/>
          <w:lang w:val="en-US" w:eastAsia="en-US"/>
        </w:rPr>
        <w:t xml:space="preserve">inference making </w:t>
      </w:r>
      <w:r w:rsidR="00F9643D" w:rsidRPr="00D16B79">
        <w:rPr>
          <w:rFonts w:ascii="Times New Roman" w:eastAsia="Cambria" w:hAnsi="Times New Roman"/>
          <w:lang w:val="en-US" w:eastAsia="en-US"/>
        </w:rPr>
        <w:t xml:space="preserve">in goal research </w:t>
      </w:r>
      <w:r w:rsidR="00CC61EE"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{"citationID":"xPtYdgnE","properties":{"formattedCitation":"(Fishbach, Henderson, and Koo 2011)","plainCitation":"(Fishbach, Henderson, and Koo 2011)","noteIndex":0},"citationItems":[{"id":14820,"uris":["http://zotero.org/users/4606674/items/66YHUSDR"],"itemData":{"id":14820,"type":"article-journal","abstract":"This article addresses what factors best motivate individuals to work toward shared goals. We propose that when individuals do not identify highly with a group, their contributions will mimic others': An emphasis on things done will increase their contributions toward achieving a goal, because such emphasis suggests the goal is worth pursuing. Conversely, we propose that when individuals identify highly with a group, their contributions will compensate for others': An emphasis on things left undone will increase their own contributions, because missing contributions suggest insufficient progress toward a goal they already consider worthwhile. Five studies lend support to these predictions by measuring contributions to goals centered on idea generation and helping victims of various global disasters (earthquake in Haiti, wildfires in Southern California, rioting in Kenya). (PsycINFO Database Record (c) 2016 APA, all rights reserved)","container-title":"Journal of Experimental Psychology: General","DOI":"10.1037/a0023907","ISSN":"1939-2222","issue":"3","note":"publisher-place: US\npublisher: American Psychological Association","page":"520-534","source":"APA PsycNet","title":"Pursuing goals with others: Group identification and motivation resulting from things done versus things left undone","title-short":"Pursuing goals with others","volume":"140","author":[{"family":"Fishbach","given":"Ayelet"},{"family":"Henderson","given":"Marlone D."},{"family":"Koo","given":"Minjung"}],"issued":{"date-parts":[["2011"]]}}}],"schema":"https://github.com/citation-style-language/schema/raw/master/csl-citation.json"} </w:instrText>
      </w:r>
      <w:r w:rsidR="00CC61EE" w:rsidRPr="00D16B79">
        <w:rPr>
          <w:rFonts w:ascii="Times New Roman" w:eastAsia="Cambria" w:hAnsi="Times New Roman"/>
          <w:lang w:val="en-US" w:eastAsia="en-US"/>
        </w:rPr>
        <w:fldChar w:fldCharType="separate"/>
      </w:r>
      <w:r w:rsidR="00CC61EE" w:rsidRPr="00D16B79">
        <w:rPr>
          <w:rFonts w:ascii="Times New Roman" w:hAnsi="Times New Roman"/>
          <w:lang w:val="en-US"/>
        </w:rPr>
        <w:t>(Fishbach, Henderson, and Koo 2011)</w:t>
      </w:r>
      <w:r w:rsidR="00CC61EE" w:rsidRPr="00D16B79">
        <w:rPr>
          <w:rFonts w:ascii="Times New Roman" w:eastAsia="Cambria" w:hAnsi="Times New Roman"/>
          <w:lang w:val="en-US" w:eastAsia="en-US"/>
        </w:rPr>
        <w:fldChar w:fldCharType="end"/>
      </w:r>
      <w:r w:rsidR="00CC61EE" w:rsidRPr="00D16B79">
        <w:rPr>
          <w:rFonts w:ascii="Times New Roman" w:eastAsia="Cambria" w:hAnsi="Times New Roman"/>
          <w:lang w:val="en-US" w:eastAsia="en-US"/>
        </w:rPr>
        <w:t xml:space="preserve">, </w:t>
      </w:r>
      <w:r w:rsidR="00EB3635" w:rsidRPr="00D16B79">
        <w:rPr>
          <w:rFonts w:ascii="Times New Roman" w:eastAsia="Cambria" w:hAnsi="Times New Roman"/>
          <w:lang w:val="en-US" w:eastAsia="en-US"/>
        </w:rPr>
        <w:t xml:space="preserve">as well as </w:t>
      </w:r>
      <w:r w:rsidR="002F0AAB">
        <w:rPr>
          <w:rFonts w:ascii="Times New Roman" w:eastAsia="Cambria" w:hAnsi="Times New Roman"/>
          <w:lang w:val="en-US" w:eastAsia="en-US"/>
        </w:rPr>
        <w:t>representation</w:t>
      </w:r>
      <w:r w:rsidR="005E258B">
        <w:rPr>
          <w:rFonts w:ascii="Times New Roman" w:eastAsia="Cambria" w:hAnsi="Times New Roman"/>
          <w:lang w:val="en-US" w:eastAsia="en-US"/>
        </w:rPr>
        <w:t>s</w:t>
      </w:r>
      <w:r w:rsidR="002F0AAB">
        <w:rPr>
          <w:rFonts w:ascii="Times New Roman" w:eastAsia="Cambria" w:hAnsi="Times New Roman"/>
          <w:lang w:val="en-US" w:eastAsia="en-US"/>
        </w:rPr>
        <w:t xml:space="preserve"> of goal pursuit</w:t>
      </w:r>
      <w:r w:rsidR="00EB3635" w:rsidRPr="00D16B79">
        <w:rPr>
          <w:rFonts w:ascii="Times New Roman" w:eastAsia="Cambria" w:hAnsi="Times New Roman"/>
          <w:lang w:val="en-US" w:eastAsia="en-US"/>
        </w:rPr>
        <w:t xml:space="preserve"> </w:t>
      </w:r>
      <w:r w:rsidR="00F9643D"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{"citationID":"5GWWSlC1","properties":{"formattedCitation":"(Huang, Zhang, and Broniarczyk 2012; Koo and Fishbach 2012)","plainCitation":"(Huang, Zhang, and Broniarczyk 2012; Koo and Fishbach 2012)","noteIndex":0},"citationItems":[{"id":1889,"uris":["http://zotero.org/users/4606674/items/NWZRJF3T"],"itemData":{"id":1889,"type":"article-journal","abstract":"In the present article, we explore whether people's mental representation of progress level can function as a self-regulation mechanism that helps motivate continued effort in the pursuit. We propose that when individuals have just started pursuing a goal and have accumulated only limited progress, they exaggerate the achieved progress level in their mental representation to signal a higher chance of eventual goal attainment and thus elicit greater effort. In contrast, when people have made substantial progress and are approaching the goal attainment, they downplay the achieved progress in their mental representation to create greater perceived discrepancy, hence eliciting greater effort. Empirical evidence from 4 studies supported the hypothesis. (PsycINFO Database Record (c) 2016 APA, all rights reserved)","container-title":"Journal of Personality and Social Psychology","DOI":"10.1037/a0028443","ISSN":"1939-1315(Electronic),0022-3514(Print)","issue":"2","note":"publisher-place: US\npublisher: American Psychological Association","page":"225-241","source":"APA PsycNET","title":"So Near and yet so Far: The Mental Representation of Goal Progress","title-short":"So Near and yet so Far","volume":"103","author":[{"family":"Huang","given":"Szu-chi"},{"family":"Zhang","given":"Ying"},{"family":"Broniarczyk","given":"Susan M."}],"issued":{"date-parts":[["2012"]]}}},{"id":2323,"uris":["http://zotero.org/users/4606674/items/U2NESV2V"],"itemData":{"id":2323,"type":"article-journal","container-title":"Journal of Consumer Research","issue":"3","note":"publisher: University of Chicago Press Chicago, IL","page":"493–509","source":"Google Scholar","title":"The Small-Area Hypothesis: Effects of Progress Monitoring on Goal Adherence","title-short":"The Small-Area Hypothesis","volume":"39","author":[{"family":"Koo","given":"Minjung"},{"family":"Fishbach","given":"Ayelet"}],"issued":{"date-parts":[["2012"]]}}}],"schema":"https://github.com/citation-style-language/schema/raw/master/csl-citation.json"} </w:instrText>
      </w:r>
      <w:r w:rsidR="00F9643D" w:rsidRPr="00D16B79">
        <w:rPr>
          <w:rFonts w:ascii="Times New Roman" w:eastAsia="Cambria" w:hAnsi="Times New Roman"/>
          <w:lang w:val="en-US" w:eastAsia="en-US"/>
        </w:rPr>
        <w:fldChar w:fldCharType="separate"/>
      </w:r>
      <w:r w:rsidR="00F9643D" w:rsidRPr="00D16B79">
        <w:rPr>
          <w:rFonts w:ascii="Times New Roman" w:hAnsi="Times New Roman"/>
          <w:lang w:val="en-US"/>
        </w:rPr>
        <w:t>(Huang, Zhang, and Broniarczyk 2012; Koo and Fishbach 2012)</w:t>
      </w:r>
      <w:r w:rsidR="00F9643D" w:rsidRPr="00D16B79">
        <w:rPr>
          <w:rFonts w:ascii="Times New Roman" w:eastAsia="Cambria" w:hAnsi="Times New Roman"/>
          <w:lang w:val="en-US" w:eastAsia="en-US"/>
        </w:rPr>
        <w:fldChar w:fldCharType="end"/>
      </w:r>
      <w:r w:rsidR="00F9643D" w:rsidRPr="00D16B79">
        <w:rPr>
          <w:rFonts w:ascii="Times New Roman" w:eastAsia="Cambria" w:hAnsi="Times New Roman"/>
          <w:lang w:val="en-US" w:eastAsia="en-US"/>
        </w:rPr>
        <w:t>.</w:t>
      </w:r>
    </w:p>
    <w:p w14:paraId="7D1E828E" w14:textId="521FF3B3" w:rsidR="0025183D" w:rsidRPr="00D16B79" w:rsidRDefault="0025183D" w:rsidP="0020052B">
      <w:pPr>
        <w:spacing w:line="480" w:lineRule="auto"/>
        <w:ind w:firstLine="720"/>
        <w:rPr>
          <w:rFonts w:ascii="Times New Roman" w:eastAsia="Cambria" w:hAnsi="Times New Roman"/>
          <w:lang w:val="en-US" w:eastAsia="en-US"/>
        </w:rPr>
      </w:pPr>
      <w:r w:rsidRPr="002C052C">
        <w:rPr>
          <w:rFonts w:ascii="Times New Roman" w:eastAsia="Cambria" w:hAnsi="Times New Roman"/>
          <w:lang w:val="en-US" w:eastAsia="en-US"/>
        </w:rPr>
        <w:lastRenderedPageBreak/>
        <w:t xml:space="preserve">Second, we identify the mechanism by which goal progress impacts donations under joint evaluation. We propose that charitable donors </w:t>
      </w:r>
      <w:r w:rsidR="00E75CAA" w:rsidRPr="002C052C">
        <w:rPr>
          <w:rFonts w:ascii="Times New Roman" w:eastAsia="Cambria" w:hAnsi="Times New Roman"/>
          <w:lang w:val="en-US" w:eastAsia="en-US"/>
        </w:rPr>
        <w:t xml:space="preserve">are generally sensitive to need and </w:t>
      </w:r>
      <w:r w:rsidRPr="002C052C">
        <w:rPr>
          <w:rFonts w:ascii="Times New Roman" w:eastAsia="Cambria" w:hAnsi="Times New Roman"/>
          <w:lang w:val="en-US" w:eastAsia="en-US"/>
        </w:rPr>
        <w:t>want to give to those with greater need</w:t>
      </w:r>
      <w:r w:rsidR="00732DFD" w:rsidRPr="002C052C">
        <w:rPr>
          <w:rFonts w:ascii="Times New Roman" w:eastAsia="Cambria" w:hAnsi="Times New Roman"/>
          <w:lang w:val="en-US" w:eastAsia="en-US"/>
        </w:rPr>
        <w:t xml:space="preserve"> for hel</w:t>
      </w:r>
      <w:r w:rsidR="002306D3" w:rsidRPr="002C052C">
        <w:rPr>
          <w:rFonts w:ascii="Times New Roman" w:eastAsia="Cambria" w:hAnsi="Times New Roman"/>
          <w:lang w:val="en-US" w:eastAsia="en-US"/>
        </w:rPr>
        <w:t>p</w:t>
      </w:r>
      <w:r w:rsidR="00732DFD" w:rsidRPr="002C052C">
        <w:rPr>
          <w:rFonts w:ascii="Times New Roman" w:eastAsia="Cambria" w:hAnsi="Times New Roman"/>
          <w:lang w:val="en-US" w:eastAsia="en-US"/>
        </w:rPr>
        <w:t>.</w:t>
      </w:r>
      <w:r w:rsidR="006C49FD" w:rsidRPr="002C052C">
        <w:rPr>
          <w:rFonts w:ascii="Times New Roman" w:eastAsia="Cambria" w:hAnsi="Times New Roman"/>
          <w:lang w:val="en-US" w:eastAsia="en-US"/>
        </w:rPr>
        <w:t xml:space="preserve"> I</w:t>
      </w:r>
      <w:r w:rsidRPr="002C052C">
        <w:rPr>
          <w:rFonts w:ascii="Times New Roman" w:eastAsia="Cambria" w:hAnsi="Times New Roman"/>
          <w:lang w:val="en-US" w:eastAsia="en-US"/>
        </w:rPr>
        <w:t xml:space="preserve">n the context of </w:t>
      </w:r>
      <w:r w:rsidR="0026730C" w:rsidRPr="002C052C">
        <w:rPr>
          <w:rFonts w:ascii="Times New Roman" w:eastAsia="Cambria" w:hAnsi="Times New Roman"/>
          <w:lang w:val="en-US" w:eastAsia="en-US"/>
        </w:rPr>
        <w:t xml:space="preserve">a prosocial cause </w:t>
      </w:r>
      <w:r w:rsidRPr="002C052C">
        <w:rPr>
          <w:rFonts w:ascii="Times New Roman" w:eastAsia="Cambria" w:hAnsi="Times New Roman"/>
          <w:lang w:val="en-US" w:eastAsia="en-US"/>
        </w:rPr>
        <w:t>fundraising towards a target goal</w:t>
      </w:r>
      <w:r w:rsidR="0026730C" w:rsidRPr="002C052C">
        <w:rPr>
          <w:rFonts w:ascii="Times New Roman" w:eastAsia="Cambria" w:hAnsi="Times New Roman"/>
          <w:lang w:val="en-US" w:eastAsia="en-US"/>
        </w:rPr>
        <w:t xml:space="preserve"> </w:t>
      </w:r>
      <w:r w:rsidRPr="002C052C">
        <w:rPr>
          <w:rFonts w:ascii="Times New Roman" w:eastAsia="Cambria" w:hAnsi="Times New Roman"/>
          <w:lang w:val="en-US" w:eastAsia="en-US"/>
        </w:rPr>
        <w:t>(e.g., “This charity has raised $200 towards a goal of $5,000”)</w:t>
      </w:r>
      <w:r w:rsidR="002306D3" w:rsidRPr="002C052C">
        <w:rPr>
          <w:rFonts w:ascii="Times New Roman" w:eastAsia="Cambria" w:hAnsi="Times New Roman"/>
          <w:lang w:val="en-US" w:eastAsia="en-US"/>
        </w:rPr>
        <w:t>,</w:t>
      </w:r>
      <w:r w:rsidRPr="002C052C">
        <w:rPr>
          <w:rFonts w:ascii="Times New Roman" w:eastAsia="Cambria" w:hAnsi="Times New Roman"/>
          <w:lang w:val="en-US" w:eastAsia="en-US"/>
        </w:rPr>
        <w:t xml:space="preserve"> the charity’s </w:t>
      </w:r>
      <w:r w:rsidRPr="002C052C">
        <w:rPr>
          <w:rFonts w:ascii="Times New Roman" w:eastAsia="Cambria" w:hAnsi="Times New Roman"/>
          <w:i/>
          <w:iCs/>
          <w:lang w:val="en-US" w:eastAsia="en-US"/>
        </w:rPr>
        <w:t>need for help</w:t>
      </w:r>
      <w:r w:rsidR="00D974D6" w:rsidRPr="002C052C">
        <w:rPr>
          <w:rFonts w:ascii="Times New Roman" w:eastAsia="Cambria" w:hAnsi="Times New Roman"/>
          <w:i/>
          <w:iCs/>
          <w:lang w:val="en-US" w:eastAsia="en-US"/>
        </w:rPr>
        <w:t xml:space="preserve">, </w:t>
      </w:r>
      <w:r w:rsidR="00D974D6" w:rsidRPr="002C052C">
        <w:rPr>
          <w:rFonts w:ascii="Times New Roman" w:eastAsia="Cambria" w:hAnsi="Times New Roman"/>
          <w:iCs/>
          <w:lang w:val="en-US" w:eastAsia="en-US"/>
        </w:rPr>
        <w:t xml:space="preserve">i.e., the potential donor’s perception of the </w:t>
      </w:r>
      <w:r w:rsidR="00F5604E" w:rsidRPr="002C052C">
        <w:rPr>
          <w:rFonts w:ascii="Times New Roman" w:eastAsia="Cambria" w:hAnsi="Times New Roman"/>
          <w:iCs/>
          <w:lang w:val="en-US" w:eastAsia="en-US"/>
        </w:rPr>
        <w:t>level of</w:t>
      </w:r>
      <w:r w:rsidR="00D974D6" w:rsidRPr="002C052C">
        <w:rPr>
          <w:rFonts w:ascii="Times New Roman" w:eastAsia="Cambria" w:hAnsi="Times New Roman"/>
          <w:iCs/>
          <w:lang w:val="en-US" w:eastAsia="en-US"/>
        </w:rPr>
        <w:t xml:space="preserve"> assistance</w:t>
      </w:r>
      <w:r w:rsidR="00F5604E" w:rsidRPr="002C052C">
        <w:rPr>
          <w:rFonts w:ascii="Times New Roman" w:eastAsia="Cambria" w:hAnsi="Times New Roman"/>
          <w:iCs/>
          <w:lang w:val="en-US" w:eastAsia="en-US"/>
        </w:rPr>
        <w:t xml:space="preserve"> the target re</w:t>
      </w:r>
      <w:r w:rsidR="000572F4" w:rsidRPr="002C052C">
        <w:rPr>
          <w:rFonts w:ascii="Times New Roman" w:eastAsia="Cambria" w:hAnsi="Times New Roman"/>
          <w:iCs/>
          <w:lang w:val="en-US" w:eastAsia="en-US"/>
        </w:rPr>
        <w:t>quires</w:t>
      </w:r>
      <w:r w:rsidRPr="002C052C">
        <w:rPr>
          <w:rFonts w:ascii="Times New Roman" w:eastAsia="Cambria" w:hAnsi="Times New Roman"/>
          <w:lang w:val="en-US" w:eastAsia="en-US"/>
        </w:rPr>
        <w:t xml:space="preserve"> </w:t>
      </w:r>
      <w:r w:rsidR="00707C82" w:rsidRPr="002C052C">
        <w:rPr>
          <w:rFonts w:ascii="Times New Roman" w:eastAsia="Cambria" w:hAnsi="Times New Roman"/>
          <w:lang w:val="en-US" w:eastAsia="en-US"/>
        </w:rPr>
        <w:t xml:space="preserve">to </w:t>
      </w:r>
      <w:r w:rsidRPr="002C052C">
        <w:rPr>
          <w:rFonts w:ascii="Times New Roman" w:eastAsia="Cambria" w:hAnsi="Times New Roman"/>
          <w:lang w:val="en-US" w:eastAsia="en-US"/>
        </w:rPr>
        <w:t>reach the goal</w:t>
      </w:r>
      <w:r w:rsidR="00D974D6" w:rsidRPr="002C052C">
        <w:rPr>
          <w:rFonts w:ascii="Times New Roman" w:eastAsia="Cambria" w:hAnsi="Times New Roman"/>
          <w:lang w:val="en-US" w:eastAsia="en-US"/>
        </w:rPr>
        <w:t>,</w:t>
      </w:r>
      <w:r w:rsidRPr="002C052C">
        <w:rPr>
          <w:rFonts w:ascii="Times New Roman" w:eastAsia="Cambria" w:hAnsi="Times New Roman"/>
          <w:lang w:val="en-US" w:eastAsia="en-US"/>
        </w:rPr>
        <w:t xml:space="preserve"> becomes the main concern for givers.</w:t>
      </w:r>
      <w:r w:rsidR="006659F8" w:rsidRPr="002C052C">
        <w:rPr>
          <w:rFonts w:ascii="Times New Roman" w:eastAsia="Cambria" w:hAnsi="Times New Roman"/>
          <w:lang w:val="en-US" w:eastAsia="en-US"/>
        </w:rPr>
        <w:t xml:space="preserve"> </w:t>
      </w:r>
      <w:r w:rsidR="0001792E" w:rsidRPr="002C052C">
        <w:rPr>
          <w:rFonts w:ascii="Times New Roman" w:eastAsia="Cambria" w:hAnsi="Times New Roman"/>
          <w:lang w:val="en-US" w:eastAsia="en-US"/>
        </w:rPr>
        <w:t>Our proposed</w:t>
      </w:r>
      <w:r w:rsidR="006659F8" w:rsidRPr="002C052C">
        <w:rPr>
          <w:rFonts w:ascii="Times New Roman" w:eastAsia="Cambria" w:hAnsi="Times New Roman"/>
          <w:lang w:val="en-US" w:eastAsia="en-US"/>
        </w:rPr>
        <w:t xml:space="preserve"> mechanism is distinct from previous work in the goal progress literature</w:t>
      </w:r>
      <w:r w:rsidR="00086AE0" w:rsidRPr="002C052C">
        <w:rPr>
          <w:rFonts w:ascii="Times New Roman" w:eastAsia="Cambria" w:hAnsi="Times New Roman"/>
          <w:lang w:val="en-US" w:eastAsia="en-US"/>
        </w:rPr>
        <w:t xml:space="preserve"> as it focuses on perceptions of the target rather than the focal actor</w:t>
      </w:r>
      <w:r w:rsidR="0001792E" w:rsidRPr="002C052C">
        <w:rPr>
          <w:rFonts w:ascii="Times New Roman" w:eastAsia="Cambria" w:hAnsi="Times New Roman"/>
          <w:lang w:val="en-US" w:eastAsia="en-US"/>
        </w:rPr>
        <w:t>’s</w:t>
      </w:r>
      <w:r w:rsidR="002C052C">
        <w:rPr>
          <w:rFonts w:ascii="Times New Roman" w:eastAsia="Cambria" w:hAnsi="Times New Roman"/>
          <w:lang w:val="en-US" w:eastAsia="en-US"/>
        </w:rPr>
        <w:t xml:space="preserve"> affective state and</w:t>
      </w:r>
      <w:r w:rsidR="0001792E" w:rsidRPr="002C052C">
        <w:rPr>
          <w:rFonts w:ascii="Times New Roman" w:eastAsia="Cambria" w:hAnsi="Times New Roman"/>
          <w:lang w:val="en-US" w:eastAsia="en-US"/>
        </w:rPr>
        <w:t xml:space="preserve"> satisfaction with </w:t>
      </w:r>
      <w:r w:rsidR="00E75CAA" w:rsidRPr="002C052C">
        <w:rPr>
          <w:rFonts w:ascii="Times New Roman" w:eastAsia="Cambria" w:hAnsi="Times New Roman"/>
          <w:lang w:val="en-US" w:eastAsia="en-US"/>
        </w:rPr>
        <w:t xml:space="preserve">goal </w:t>
      </w:r>
      <w:r w:rsidR="0001792E" w:rsidRPr="002C052C">
        <w:rPr>
          <w:rFonts w:ascii="Times New Roman" w:eastAsia="Cambria" w:hAnsi="Times New Roman"/>
          <w:lang w:val="en-US" w:eastAsia="en-US"/>
        </w:rPr>
        <w:t>progress</w:t>
      </w:r>
      <w:r w:rsidR="00CE2D0D">
        <w:rPr>
          <w:rFonts w:ascii="Times New Roman" w:eastAsia="Cambria" w:hAnsi="Times New Roman"/>
          <w:lang w:val="en-US" w:eastAsia="en-US"/>
        </w:rPr>
        <w:t xml:space="preserve"> </w:t>
      </w:r>
      <w:r w:rsidR="00086AE0">
        <w:rPr>
          <w:rFonts w:ascii="Times New Roman" w:eastAsia="Cambria" w:hAnsi="Times New Roman"/>
          <w:lang w:val="en-US" w:eastAsia="en-US"/>
        </w:rPr>
        <w:t>(</w:t>
      </w:r>
      <w:r w:rsidR="00086AE0" w:rsidRPr="00086AE0">
        <w:rPr>
          <w:rFonts w:ascii="Times New Roman" w:eastAsia="Cambria" w:hAnsi="Times New Roman"/>
          <w:lang w:val="en-US" w:eastAsia="en-US"/>
        </w:rPr>
        <w:t>Fishbach, Henderson and Koo 2011)</w:t>
      </w:r>
      <w:r w:rsidR="00086AE0">
        <w:rPr>
          <w:rFonts w:ascii="Times New Roman" w:eastAsia="Cambria" w:hAnsi="Times New Roman"/>
          <w:lang w:val="en-US" w:eastAsia="en-US"/>
        </w:rPr>
        <w:t>.</w:t>
      </w:r>
      <w:r w:rsidR="00CE2D0D">
        <w:rPr>
          <w:rFonts w:ascii="Times New Roman" w:eastAsia="Cambria" w:hAnsi="Times New Roman"/>
          <w:lang w:val="en-US" w:eastAsia="en-US"/>
        </w:rPr>
        <w:t xml:space="preserve"> </w:t>
      </w:r>
    </w:p>
    <w:p w14:paraId="36C05D0A" w14:textId="35CB7D01" w:rsidR="001C0A31" w:rsidRDefault="001C0A31" w:rsidP="001E0542">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Third, we </w:t>
      </w:r>
      <w:r w:rsidR="0065234A" w:rsidRPr="00D16B79">
        <w:rPr>
          <w:rFonts w:ascii="Times New Roman" w:eastAsia="Cambria" w:hAnsi="Times New Roman"/>
          <w:lang w:val="en-US" w:eastAsia="en-US"/>
        </w:rPr>
        <w:t>build on</w:t>
      </w:r>
      <w:r w:rsidRPr="00D16B79">
        <w:rPr>
          <w:rFonts w:ascii="Times New Roman" w:eastAsia="Cambria" w:hAnsi="Times New Roman"/>
          <w:lang w:val="en-US" w:eastAsia="en-US"/>
        </w:rPr>
        <w:t xml:space="preserve"> existing work on preference shifts in joint </w:t>
      </w:r>
      <w:r w:rsidR="00EE2B9D" w:rsidRPr="00D16B79">
        <w:rPr>
          <w:rFonts w:ascii="Times New Roman" w:eastAsia="Cambria" w:hAnsi="Times New Roman"/>
          <w:lang w:val="en-US" w:eastAsia="en-US"/>
        </w:rPr>
        <w:t xml:space="preserve">versus </w:t>
      </w:r>
      <w:r w:rsidRPr="00D16B79">
        <w:rPr>
          <w:rFonts w:ascii="Times New Roman" w:eastAsia="Cambria" w:hAnsi="Times New Roman"/>
          <w:lang w:val="en-US" w:eastAsia="en-US"/>
        </w:rPr>
        <w:t>separate evaluation</w:t>
      </w:r>
      <w:r w:rsidR="002D5312">
        <w:rPr>
          <w:rFonts w:ascii="Times New Roman" w:eastAsia="Cambria" w:hAnsi="Times New Roman"/>
          <w:lang w:val="en-US" w:eastAsia="en-US"/>
        </w:rPr>
        <w:t>, more generally</w:t>
      </w:r>
      <w:r w:rsidR="00FD2DC7" w:rsidRPr="00D16B79">
        <w:rPr>
          <w:rFonts w:ascii="Times New Roman" w:eastAsia="Cambria" w:hAnsi="Times New Roman"/>
          <w:lang w:val="en-US" w:eastAsia="en-US"/>
        </w:rPr>
        <w:t xml:space="preserve"> </w:t>
      </w:r>
      <w:r w:rsidR="000A44B0"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{"citationID":"nLfGuShg","properties":{"formattedCitation":"(Hsee et al. 1999)","plainCitation":"(Hsee et al. 1999)","noteIndex":0},"citationItems":[{"id":1,"uris":["http://zotero.org/users/4606674/items/XP9UZAF4"],"itemData":{"id":1,"type":"article-journal","issue":"5","language":"en","page":"576–590","source":"Zotero","title":"Preference Reversals Between Joint and Separate Evaluations of Options: A Review and Theoretical Analysis","volume":"125","author":[{"family":"Hsee","given":"Christopher K"},{"family":"Blount","given":"Sally"},{"family":"Loewenstein","given":"George F"},{"family":"Bazerman","given":"Max H"}],"issued":{"date-parts":[["1999"]]}}}],"schema":"https://github.com/citation-style-language/schema/raw/master/csl-citation.json"} </w:instrText>
      </w:r>
      <w:r w:rsidR="000A44B0" w:rsidRPr="00D16B79">
        <w:rPr>
          <w:rFonts w:ascii="Times New Roman" w:eastAsia="Cambria" w:hAnsi="Times New Roman"/>
          <w:lang w:val="en-US" w:eastAsia="en-US"/>
        </w:rPr>
        <w:fldChar w:fldCharType="separate"/>
      </w:r>
      <w:r w:rsidR="00FA5441" w:rsidRPr="00D16B79">
        <w:rPr>
          <w:rFonts w:ascii="Times New Roman" w:hAnsi="Times New Roman"/>
          <w:lang w:val="en-US"/>
        </w:rPr>
        <w:t>(Hsee et al. 1999)</w:t>
      </w:r>
      <w:r w:rsidR="000A44B0" w:rsidRPr="00D16B79">
        <w:rPr>
          <w:rFonts w:ascii="Times New Roman" w:eastAsia="Cambria" w:hAnsi="Times New Roman"/>
          <w:lang w:val="en-US" w:eastAsia="en-US"/>
        </w:rPr>
        <w:fldChar w:fldCharType="end"/>
      </w:r>
      <w:r w:rsidR="00B7156B" w:rsidRPr="00D16B79">
        <w:rPr>
          <w:rFonts w:ascii="Times New Roman" w:eastAsia="Cambria" w:hAnsi="Times New Roman"/>
          <w:lang w:val="en-US" w:eastAsia="en-US"/>
        </w:rPr>
        <w:t xml:space="preserve">. </w:t>
      </w:r>
      <w:r w:rsidR="00F31E4B" w:rsidRPr="00D16B79">
        <w:rPr>
          <w:rFonts w:ascii="Times New Roman" w:eastAsia="Cambria" w:hAnsi="Times New Roman"/>
          <w:lang w:val="en-US" w:eastAsia="en-US"/>
        </w:rPr>
        <w:t>W</w:t>
      </w:r>
      <w:r w:rsidR="0053059E" w:rsidRPr="00D16B79">
        <w:rPr>
          <w:rFonts w:ascii="Times New Roman" w:eastAsia="Cambria" w:hAnsi="Times New Roman"/>
          <w:lang w:val="en-US" w:eastAsia="en-US"/>
        </w:rPr>
        <w:t>e argue that the comparison in joint presentation</w:t>
      </w:r>
      <w:r w:rsidR="0065234A" w:rsidRPr="00D16B79">
        <w:rPr>
          <w:rFonts w:ascii="Times New Roman" w:eastAsia="Cambria" w:hAnsi="Times New Roman"/>
          <w:lang w:val="en-US" w:eastAsia="en-US"/>
        </w:rPr>
        <w:t xml:space="preserve"> makes </w:t>
      </w:r>
      <w:r w:rsidR="006907C8" w:rsidRPr="00D16B79">
        <w:rPr>
          <w:rFonts w:ascii="Times New Roman" w:eastAsia="Cambria" w:hAnsi="Times New Roman"/>
          <w:lang w:val="en-US" w:eastAsia="en-US"/>
        </w:rPr>
        <w:t>a key attribute (</w:t>
      </w:r>
      <w:r w:rsidR="007C7C6A" w:rsidRPr="00D16B79">
        <w:rPr>
          <w:rFonts w:ascii="Times New Roman" w:eastAsia="Cambria" w:hAnsi="Times New Roman"/>
          <w:lang w:val="en-US" w:eastAsia="en-US"/>
        </w:rPr>
        <w:t>need</w:t>
      </w:r>
      <w:r w:rsidR="00FE0BA7" w:rsidRPr="00D16B79">
        <w:rPr>
          <w:rFonts w:ascii="Times New Roman" w:eastAsia="Cambria" w:hAnsi="Times New Roman"/>
          <w:lang w:val="en-US" w:eastAsia="en-US"/>
        </w:rPr>
        <w:t xml:space="preserve"> for help</w:t>
      </w:r>
      <w:r w:rsidR="006907C8" w:rsidRPr="00D16B79">
        <w:rPr>
          <w:rFonts w:ascii="Times New Roman" w:eastAsia="Cambria" w:hAnsi="Times New Roman"/>
          <w:lang w:val="en-US" w:eastAsia="en-US"/>
        </w:rPr>
        <w:t>)</w:t>
      </w:r>
      <w:r w:rsidR="007C7C6A" w:rsidRPr="00D16B79">
        <w:rPr>
          <w:rFonts w:ascii="Times New Roman" w:eastAsia="Cambria" w:hAnsi="Times New Roman"/>
          <w:lang w:val="en-US" w:eastAsia="en-US"/>
        </w:rPr>
        <w:t xml:space="preserve"> </w:t>
      </w:r>
      <w:r w:rsidR="0065234A" w:rsidRPr="00D16B79">
        <w:rPr>
          <w:rFonts w:ascii="Times New Roman" w:eastAsia="Cambria" w:hAnsi="Times New Roman"/>
          <w:lang w:val="en-US" w:eastAsia="en-US"/>
        </w:rPr>
        <w:t xml:space="preserve">easier to evaluate, </w:t>
      </w:r>
      <w:r w:rsidR="00874E52">
        <w:rPr>
          <w:rFonts w:ascii="Times New Roman" w:eastAsia="Cambria" w:hAnsi="Times New Roman"/>
          <w:lang w:val="en-US" w:eastAsia="en-US"/>
        </w:rPr>
        <w:t>and</w:t>
      </w:r>
      <w:r w:rsidR="004754D3" w:rsidRPr="00D16B79">
        <w:rPr>
          <w:rFonts w:ascii="Times New Roman" w:eastAsia="Cambria" w:hAnsi="Times New Roman"/>
          <w:lang w:val="en-US" w:eastAsia="en-US"/>
        </w:rPr>
        <w:t xml:space="preserve"> also</w:t>
      </w:r>
      <w:r w:rsidR="0065234A" w:rsidRPr="00D16B79">
        <w:rPr>
          <w:rFonts w:ascii="Times New Roman" w:eastAsia="Cambria" w:hAnsi="Times New Roman"/>
          <w:lang w:val="en-US" w:eastAsia="en-US"/>
        </w:rPr>
        <w:t xml:space="preserve"> </w:t>
      </w:r>
      <w:r w:rsidR="0035069D" w:rsidRPr="00D16B79">
        <w:rPr>
          <w:rFonts w:ascii="Times New Roman" w:eastAsia="Cambria" w:hAnsi="Times New Roman"/>
          <w:lang w:val="en-US" w:eastAsia="en-US"/>
        </w:rPr>
        <w:t xml:space="preserve">changes perceptions of </w:t>
      </w:r>
      <w:r w:rsidR="00C40E0D" w:rsidRPr="00D16B79">
        <w:rPr>
          <w:rFonts w:ascii="Times New Roman" w:eastAsia="Cambria" w:hAnsi="Times New Roman"/>
          <w:lang w:val="en-US" w:eastAsia="en-US"/>
        </w:rPr>
        <w:t>that attribute</w:t>
      </w:r>
      <w:r w:rsidR="006707B0" w:rsidRPr="00D16B79">
        <w:rPr>
          <w:rFonts w:ascii="Times New Roman" w:eastAsia="Cambria" w:hAnsi="Times New Roman"/>
          <w:lang w:val="en-US" w:eastAsia="en-US"/>
        </w:rPr>
        <w:t xml:space="preserve">. </w:t>
      </w:r>
      <w:r w:rsidR="00051514">
        <w:t>While there</w:t>
      </w:r>
      <w:r w:rsidR="00051514" w:rsidRPr="00F3659A">
        <w:t xml:space="preserve"> is an inverse relationship between relative fundraising progress and perceived need for help</w:t>
      </w:r>
      <w:r w:rsidR="00051514">
        <w:rPr>
          <w:rFonts w:ascii="Times New Roman" w:eastAsia="Cambria" w:hAnsi="Times New Roman"/>
          <w:lang w:val="en-US" w:eastAsia="en-US"/>
        </w:rPr>
        <w:t>, c</w:t>
      </w:r>
      <w:r w:rsidR="006707B0" w:rsidRPr="00D16B79">
        <w:rPr>
          <w:rFonts w:ascii="Times New Roman" w:eastAsia="Cambria" w:hAnsi="Times New Roman"/>
          <w:lang w:val="en-US" w:eastAsia="en-US"/>
        </w:rPr>
        <w:t xml:space="preserve">onsumers may </w:t>
      </w:r>
      <w:r w:rsidR="00051514">
        <w:rPr>
          <w:rFonts w:ascii="Times New Roman" w:eastAsia="Cambria" w:hAnsi="Times New Roman"/>
          <w:lang w:val="en-US" w:eastAsia="en-US"/>
        </w:rPr>
        <w:t>not always be able to assess this accurately. J</w:t>
      </w:r>
      <w:r w:rsidR="0035069D" w:rsidRPr="00D16B79">
        <w:rPr>
          <w:rFonts w:ascii="Times New Roman" w:eastAsia="Cambria" w:hAnsi="Times New Roman"/>
          <w:lang w:val="en-US" w:eastAsia="en-US"/>
        </w:rPr>
        <w:t>oint evaluation makes this s</w:t>
      </w:r>
      <w:r w:rsidR="00C40E0D" w:rsidRPr="00D16B79">
        <w:rPr>
          <w:rFonts w:ascii="Times New Roman" w:eastAsia="Cambria" w:hAnsi="Times New Roman"/>
          <w:lang w:val="en-US" w:eastAsia="en-US"/>
        </w:rPr>
        <w:t>alient</w:t>
      </w:r>
      <w:r w:rsidR="0020052B">
        <w:rPr>
          <w:rFonts w:ascii="Times New Roman" w:eastAsia="Cambria" w:hAnsi="Times New Roman"/>
          <w:lang w:val="en-US" w:eastAsia="en-US"/>
        </w:rPr>
        <w:t xml:space="preserve"> and easier to evaluate</w:t>
      </w:r>
      <w:r w:rsidR="00401E65" w:rsidRPr="00D16B79">
        <w:rPr>
          <w:rFonts w:ascii="Times New Roman" w:eastAsia="Cambria" w:hAnsi="Times New Roman"/>
          <w:lang w:val="en-US" w:eastAsia="en-US"/>
        </w:rPr>
        <w:t xml:space="preserve">, </w:t>
      </w:r>
      <w:r w:rsidR="006E70B7" w:rsidRPr="00D16B79">
        <w:rPr>
          <w:rFonts w:ascii="Times New Roman" w:eastAsia="Cambria" w:hAnsi="Times New Roman"/>
          <w:lang w:val="en-US" w:eastAsia="en-US"/>
        </w:rPr>
        <w:t>widening the gap</w:t>
      </w:r>
      <w:r w:rsidR="00E9684B" w:rsidRPr="00D16B79">
        <w:rPr>
          <w:rFonts w:ascii="Times New Roman" w:eastAsia="Cambria" w:hAnsi="Times New Roman"/>
          <w:lang w:val="en-US" w:eastAsia="en-US"/>
        </w:rPr>
        <w:t xml:space="preserve"> in perceptions of need</w:t>
      </w:r>
      <w:r w:rsidR="006E70B7" w:rsidRPr="00D16B79">
        <w:rPr>
          <w:rFonts w:ascii="Times New Roman" w:eastAsia="Cambria" w:hAnsi="Times New Roman"/>
          <w:lang w:val="en-US" w:eastAsia="en-US"/>
        </w:rPr>
        <w:t xml:space="preserve"> </w:t>
      </w:r>
      <w:r w:rsidR="0020052B">
        <w:rPr>
          <w:rFonts w:ascii="Times New Roman" w:eastAsia="Cambria" w:hAnsi="Times New Roman"/>
          <w:lang w:val="en-US" w:eastAsia="en-US"/>
        </w:rPr>
        <w:t xml:space="preserve">for help </w:t>
      </w:r>
      <w:r w:rsidR="006E70B7" w:rsidRPr="00D16B79">
        <w:rPr>
          <w:rFonts w:ascii="Times New Roman" w:eastAsia="Cambria" w:hAnsi="Times New Roman"/>
          <w:lang w:val="en-US" w:eastAsia="en-US"/>
        </w:rPr>
        <w:t xml:space="preserve">between the charities </w:t>
      </w:r>
      <w:r w:rsidR="004754D3" w:rsidRPr="00D16B79">
        <w:rPr>
          <w:rFonts w:ascii="Times New Roman" w:eastAsia="Cambria" w:hAnsi="Times New Roman"/>
          <w:lang w:val="en-US" w:eastAsia="en-US"/>
        </w:rPr>
        <w:t xml:space="preserve">in joint evaluation </w:t>
      </w:r>
      <w:r w:rsidR="006E70B7" w:rsidRPr="00D16B79">
        <w:rPr>
          <w:rFonts w:ascii="Times New Roman" w:eastAsia="Cambria" w:hAnsi="Times New Roman"/>
          <w:lang w:val="en-US" w:eastAsia="en-US"/>
        </w:rPr>
        <w:t xml:space="preserve">compared to </w:t>
      </w:r>
      <w:r w:rsidR="0053059E" w:rsidRPr="00D16B79">
        <w:rPr>
          <w:rFonts w:ascii="Times New Roman" w:eastAsia="Cambria" w:hAnsi="Times New Roman"/>
          <w:lang w:val="en-US" w:eastAsia="en-US"/>
        </w:rPr>
        <w:t>when the same information is presented separately</w:t>
      </w:r>
      <w:r w:rsidR="000B437D" w:rsidRPr="00D16B79">
        <w:rPr>
          <w:rFonts w:ascii="Times New Roman" w:eastAsia="Cambria" w:hAnsi="Times New Roman"/>
          <w:lang w:val="en-US" w:eastAsia="en-US"/>
        </w:rPr>
        <w:t>. We</w:t>
      </w:r>
      <w:r w:rsidR="00C93CE8" w:rsidRPr="00D16B79">
        <w:rPr>
          <w:rFonts w:ascii="Times New Roman" w:eastAsia="Cambria" w:hAnsi="Times New Roman"/>
          <w:lang w:val="en-US" w:eastAsia="en-US"/>
        </w:rPr>
        <w:t xml:space="preserve"> show </w:t>
      </w:r>
      <w:r w:rsidR="006907C8" w:rsidRPr="00D16B79">
        <w:rPr>
          <w:rFonts w:ascii="Times New Roman" w:eastAsia="Cambria" w:hAnsi="Times New Roman"/>
          <w:lang w:val="en-US" w:eastAsia="en-US"/>
        </w:rPr>
        <w:t xml:space="preserve">how </w:t>
      </w:r>
      <w:r w:rsidR="000B437D" w:rsidRPr="00D16B79">
        <w:rPr>
          <w:rFonts w:ascii="Times New Roman" w:eastAsia="Cambria" w:hAnsi="Times New Roman"/>
          <w:lang w:val="en-US" w:eastAsia="en-US"/>
        </w:rPr>
        <w:t>this</w:t>
      </w:r>
      <w:r w:rsidR="00EE2B9D" w:rsidRPr="00D16B79">
        <w:rPr>
          <w:rFonts w:ascii="Times New Roman" w:eastAsia="Cambria" w:hAnsi="Times New Roman"/>
          <w:lang w:val="en-US" w:eastAsia="en-US"/>
        </w:rPr>
        <w:t xml:space="preserve"> </w:t>
      </w:r>
      <w:r w:rsidR="00386C21" w:rsidRPr="00D16B79">
        <w:rPr>
          <w:rFonts w:ascii="Times New Roman" w:eastAsia="Cambria" w:hAnsi="Times New Roman"/>
          <w:lang w:val="en-US" w:eastAsia="en-US"/>
        </w:rPr>
        <w:t>change in perception</w:t>
      </w:r>
      <w:r w:rsidR="006907C8" w:rsidRPr="00D16B79">
        <w:rPr>
          <w:rFonts w:ascii="Times New Roman" w:eastAsia="Cambria" w:hAnsi="Times New Roman"/>
          <w:lang w:val="en-US" w:eastAsia="en-US"/>
        </w:rPr>
        <w:t>s</w:t>
      </w:r>
      <w:r w:rsidR="00EE2B9D" w:rsidRPr="00D16B79">
        <w:rPr>
          <w:rFonts w:ascii="Times New Roman" w:eastAsia="Cambria" w:hAnsi="Times New Roman"/>
          <w:lang w:val="en-US" w:eastAsia="en-US"/>
        </w:rPr>
        <w:t xml:space="preserve"> contributes to preference shifts in joint versus separate evaluation</w:t>
      </w:r>
      <w:r w:rsidR="005647FC" w:rsidRPr="00D16B79">
        <w:rPr>
          <w:rFonts w:ascii="Times New Roman" w:eastAsia="Cambria" w:hAnsi="Times New Roman"/>
          <w:lang w:val="en-US" w:eastAsia="en-US"/>
        </w:rPr>
        <w:t xml:space="preserve"> and makes participants </w:t>
      </w:r>
      <w:r w:rsidR="00EC3B19" w:rsidRPr="00D16B79">
        <w:rPr>
          <w:rFonts w:ascii="Times New Roman" w:eastAsia="Cambria" w:hAnsi="Times New Roman"/>
          <w:lang w:val="en-US" w:eastAsia="en-US"/>
        </w:rPr>
        <w:t>more likely</w:t>
      </w:r>
      <w:r w:rsidR="005647FC" w:rsidRPr="00D16B79">
        <w:rPr>
          <w:rFonts w:ascii="Times New Roman" w:eastAsia="Cambria" w:hAnsi="Times New Roman"/>
          <w:lang w:val="en-US" w:eastAsia="en-US"/>
        </w:rPr>
        <w:t xml:space="preserve"> to give on the basis of need</w:t>
      </w:r>
      <w:r w:rsidR="00FE0BA7" w:rsidRPr="00D16B79">
        <w:rPr>
          <w:rFonts w:ascii="Times New Roman" w:eastAsia="Cambria" w:hAnsi="Times New Roman"/>
          <w:lang w:val="en-US" w:eastAsia="en-US"/>
        </w:rPr>
        <w:t xml:space="preserve"> for help</w:t>
      </w:r>
      <w:r w:rsidR="00C93CE8" w:rsidRPr="00D16B79">
        <w:rPr>
          <w:rFonts w:ascii="Times New Roman" w:eastAsia="Cambria" w:hAnsi="Times New Roman"/>
          <w:lang w:val="en-US" w:eastAsia="en-US"/>
        </w:rPr>
        <w:t>.</w:t>
      </w:r>
      <w:r w:rsidR="00103EA1" w:rsidRPr="00D16B79">
        <w:rPr>
          <w:rFonts w:ascii="Times New Roman" w:eastAsia="Cambria" w:hAnsi="Times New Roman"/>
          <w:lang w:val="en-US" w:eastAsia="en-US"/>
        </w:rPr>
        <w:t xml:space="preserve"> </w:t>
      </w:r>
    </w:p>
    <w:p w14:paraId="0C40C377" w14:textId="5A876681" w:rsidR="00845253" w:rsidRPr="00D16B79" w:rsidRDefault="00845253" w:rsidP="001E0542">
      <w:pPr>
        <w:spacing w:line="480" w:lineRule="auto"/>
        <w:ind w:firstLine="720"/>
        <w:rPr>
          <w:rFonts w:ascii="Times New Roman" w:eastAsia="Cambria" w:hAnsi="Times New Roman"/>
          <w:lang w:val="en-US" w:eastAsia="en-US"/>
        </w:rPr>
      </w:pPr>
      <w:r>
        <w:rPr>
          <w:rFonts w:ascii="Times New Roman" w:eastAsia="Cambria" w:hAnsi="Times New Roman"/>
          <w:lang w:val="en-US" w:eastAsia="en-US"/>
        </w:rPr>
        <w:t xml:space="preserve">Fourth, we identify </w:t>
      </w:r>
      <w:r w:rsidR="0001792E">
        <w:rPr>
          <w:rFonts w:ascii="Times New Roman" w:eastAsia="Cambria" w:hAnsi="Times New Roman"/>
          <w:lang w:val="en-US" w:eastAsia="en-US"/>
        </w:rPr>
        <w:t>theoreticall</w:t>
      </w:r>
      <w:r w:rsidR="004A3332">
        <w:rPr>
          <w:rFonts w:ascii="Times New Roman" w:eastAsia="Cambria" w:hAnsi="Times New Roman"/>
          <w:lang w:val="en-US" w:eastAsia="en-US"/>
        </w:rPr>
        <w:t>y</w:t>
      </w:r>
      <w:r w:rsidR="0001792E">
        <w:rPr>
          <w:rFonts w:ascii="Times New Roman" w:eastAsia="Cambria" w:hAnsi="Times New Roman"/>
          <w:lang w:val="en-US" w:eastAsia="en-US"/>
        </w:rPr>
        <w:t xml:space="preserve">-relevant </w:t>
      </w:r>
      <w:r>
        <w:rPr>
          <w:rFonts w:ascii="Times New Roman" w:eastAsia="Cambria" w:hAnsi="Times New Roman"/>
          <w:lang w:val="en-US" w:eastAsia="en-US"/>
        </w:rPr>
        <w:t xml:space="preserve">moderators of the closing-the-gap effect. We </w:t>
      </w:r>
      <w:r w:rsidR="009B57FD">
        <w:rPr>
          <w:rFonts w:ascii="Times New Roman" w:eastAsia="Cambria" w:hAnsi="Times New Roman"/>
          <w:lang w:val="en-US" w:eastAsia="en-US"/>
        </w:rPr>
        <w:t xml:space="preserve">argue that consumers have increased sensitivity to need for help in prosocial contexts </w:t>
      </w:r>
      <w:r w:rsidR="0059431D">
        <w:rPr>
          <w:lang w:val="en-US"/>
        </w:rPr>
        <w:t xml:space="preserve">where consumers are focused on benefits to others </w:t>
      </w:r>
      <w:r w:rsidR="0059431D">
        <w:rPr>
          <w:lang w:val="en-US"/>
        </w:rPr>
        <w:fldChar w:fldCharType="begin"/>
      </w:r>
      <w:r w:rsidR="00181321">
        <w:rPr>
          <w:lang w:val="en-US"/>
        </w:rPr>
        <w:instrText xml:space="preserve"> ADDIN ZOTERO_ITEM CSL_CITATION {"citationID":"pmigj3ii","properties":{"formattedCitation":"(Bhattacharjee, Dana, and Baron 2017)","plainCitation":"(Bhattacharjee, Dana, and Baron 2017)","noteIndex":0},"citationItems":[{"id":14826,"uris":["http://zotero.org/users/4606674/items/LT386RVI"],"itemData":{"id":14826,"type":"article-journal","abstract":"Profit-seeking firms are stereotypically depicted as immoral and harmful to society. At the same time, profit-driven enterprise has contributed immensely to human prosperity. Though scholars agree that profit can incentivize societally beneficial behaviors, people may neglect this possibility. In 7 studies, we show that people see business profit as necessarily in conflict with social good, a view we call anti-profit beliefs. Studies 1 and 2 demonstrate that U.S. participants hold anti-profit views of real U.S. firms and industries. Study 3 shows that hypothetical organizations are seen as doing more harm when they are labeled \"for-profit\" rather than \"non-profit,\" while Study 4 shows that increasing harm to society is viewed as a strategy for increasing a hypothetical firm's long-run profitability. Studies 5-7 demonstrate that carefully prompting subjects to consider the long run incentives of profit can attenuate anti-profit beliefs, while prompting short run thinking does nothing relative to a control. Together, these results suggest that the default view of profits is zero-sum. While people readily grasp how profit can incentivize firms to engage in practices that harm others, they neglect how it can incentivize firms to engage in practices that benefit others. Accordingly, people's stereotypes of profit-seeking firms are excessively negative. Even in one of the most market-oriented societies in history, people doubt the contributions of profit-seeking industry to societal progress. (PsycINFO Database Record","container-title":"Journal of Personality and Social Psychology","DOI":"10.1037/pspa0000093","ISSN":"1939-1315","issue":"5","journalAbbreviation":"J Pers Soc Psychol","language":"eng","note":"PMID: 28726437","page":"671-696","source":"PubMed","title":"Anti-profit beliefs: How people neglect the societal benefits of profit","title-short":"Anti-profit beliefs","volume":"113","author":[{"family":"Bhattacharjee","given":"Amit"},{"family":"Dana","given":"Jason"},{"family":"Baron","given":"Jonathan"}],"issued":{"date-parts":[["2017",11]]}}}],"schema":"https://github.com/citation-style-language/schema/raw/master/csl-citation.json"} </w:instrText>
      </w:r>
      <w:r w:rsidR="0059431D">
        <w:rPr>
          <w:lang w:val="en-US"/>
        </w:rPr>
        <w:fldChar w:fldCharType="separate"/>
      </w:r>
      <w:r w:rsidR="0059431D" w:rsidRPr="00441EED">
        <w:rPr>
          <w:rFonts w:ascii="Times New Roman" w:hAnsi="Times New Roman"/>
        </w:rPr>
        <w:t>(Bhattacharjee, Dana, and Baron 2017)</w:t>
      </w:r>
      <w:r w:rsidR="0059431D">
        <w:rPr>
          <w:lang w:val="en-US"/>
        </w:rPr>
        <w:fldChar w:fldCharType="end"/>
      </w:r>
      <w:r w:rsidR="0059431D">
        <w:rPr>
          <w:lang w:val="en-US"/>
        </w:rPr>
        <w:t xml:space="preserve">. We show </w:t>
      </w:r>
      <w:r>
        <w:rPr>
          <w:rFonts w:ascii="Times New Roman" w:eastAsia="Cambria" w:hAnsi="Times New Roman"/>
          <w:lang w:val="en-US" w:eastAsia="en-US"/>
        </w:rPr>
        <w:t xml:space="preserve">that </w:t>
      </w:r>
      <w:r w:rsidR="009B57FD">
        <w:rPr>
          <w:rFonts w:ascii="Times New Roman" w:eastAsia="Cambria" w:hAnsi="Times New Roman"/>
          <w:lang w:val="en-US" w:eastAsia="en-US"/>
        </w:rPr>
        <w:t>our</w:t>
      </w:r>
      <w:r>
        <w:rPr>
          <w:rFonts w:ascii="Times New Roman" w:eastAsia="Cambria" w:hAnsi="Times New Roman"/>
          <w:lang w:val="en-US" w:eastAsia="en-US"/>
        </w:rPr>
        <w:t xml:space="preserve"> effect is stronger when </w:t>
      </w:r>
      <w:r w:rsidR="009B57FD">
        <w:rPr>
          <w:rFonts w:ascii="Times New Roman" w:eastAsia="Cambria" w:hAnsi="Times New Roman"/>
          <w:lang w:val="en-US" w:eastAsia="en-US"/>
        </w:rPr>
        <w:t xml:space="preserve">considering prosocial causes such as non-profits and is </w:t>
      </w:r>
      <w:r w:rsidR="00297B16">
        <w:rPr>
          <w:rFonts w:ascii="Times New Roman" w:eastAsia="Cambria" w:hAnsi="Times New Roman"/>
          <w:lang w:val="en-US" w:eastAsia="en-US"/>
        </w:rPr>
        <w:t>eliminated</w:t>
      </w:r>
      <w:r w:rsidR="009B57FD">
        <w:rPr>
          <w:rFonts w:ascii="Times New Roman" w:eastAsia="Cambria" w:hAnsi="Times New Roman"/>
          <w:lang w:val="en-US" w:eastAsia="en-US"/>
        </w:rPr>
        <w:t xml:space="preserve"> when considering for-profit organizations</w:t>
      </w:r>
      <w:r w:rsidR="0059431D">
        <w:rPr>
          <w:rFonts w:ascii="Times New Roman" w:eastAsia="Cambria" w:hAnsi="Times New Roman"/>
          <w:lang w:val="en-US" w:eastAsia="en-US"/>
        </w:rPr>
        <w:t xml:space="preserve">, where consumers </w:t>
      </w:r>
      <w:r w:rsidR="0059431D" w:rsidRPr="00AB17AB">
        <w:rPr>
          <w:lang w:val="en-US"/>
        </w:rPr>
        <w:t>are less sensitive to the needs of others</w:t>
      </w:r>
      <w:r w:rsidR="0059431D">
        <w:rPr>
          <w:lang w:val="en-US"/>
        </w:rPr>
        <w:t xml:space="preserve"> </w:t>
      </w:r>
      <w:r w:rsidR="0059431D" w:rsidRPr="00C311EC">
        <w:rPr>
          <w:lang w:val="en-US"/>
        </w:rPr>
        <w:fldChar w:fldCharType="begin"/>
      </w:r>
      <w:r w:rsidR="00181321">
        <w:rPr>
          <w:lang w:val="en-US"/>
        </w:rPr>
        <w:instrText xml:space="preserve"> ADDIN ZOTERO_ITEM CSL_CITATION {"citationID":"NHUslC1p","properties":{"formattedCitation":"(Aaker, Vohs, and Mogilner 2010)","plainCitation":"(Aaker, Vohs, and Mogilner 2010)","noteIndex":0},"citationItems":[{"id":1618,"uris":["http://zotero.org/users/4606674/items/5XTRA53E"],"itemData":{"id":1618,"type":"article-journal","container-title":"Journal of Consumer Research","issue":"2","page":"224–237","source":"Google Scholar","title":"Nonprofits Are Seen as Warm and for-Profits as Competent: Firm Stereotypes Matter","title-short":"Nonprofits Are Seen as Warm and for-Profits as Competent","volume":"37","author":[{"family":"Aaker","given":"Jennifer"},{"family":"Vohs","given":"Kathleen D."},{"family":"Mogilner","given":"Cassie"}],"issued":{"date-parts":[["2010"]]}}}],"schema":"https://github.com/citation-style-language/schema/raw/master/csl-citation.json"} </w:instrText>
      </w:r>
      <w:r w:rsidR="0059431D" w:rsidRPr="00C311EC">
        <w:rPr>
          <w:lang w:val="en-US"/>
        </w:rPr>
        <w:fldChar w:fldCharType="separate"/>
      </w:r>
      <w:r w:rsidR="0059431D" w:rsidRPr="00441EED">
        <w:rPr>
          <w:rFonts w:ascii="Times New Roman" w:hAnsi="Times New Roman"/>
        </w:rPr>
        <w:t>(Aaker, Vohs, and Mogilner 2010)</w:t>
      </w:r>
      <w:r w:rsidR="0059431D" w:rsidRPr="00C311EC">
        <w:rPr>
          <w:lang w:val="en-US"/>
        </w:rPr>
        <w:fldChar w:fldCharType="end"/>
      </w:r>
      <w:r w:rsidR="0059431D" w:rsidRPr="00AB17AB">
        <w:rPr>
          <w:lang w:val="en-US"/>
        </w:rPr>
        <w:t>.</w:t>
      </w:r>
      <w:r w:rsidR="009B57FD">
        <w:rPr>
          <w:rFonts w:ascii="Times New Roman" w:eastAsia="Cambria" w:hAnsi="Times New Roman"/>
          <w:lang w:val="en-US" w:eastAsia="en-US"/>
        </w:rPr>
        <w:t xml:space="preserve"> We also argue that the size of the ga</w:t>
      </w:r>
      <w:r w:rsidR="00E75CAA">
        <w:rPr>
          <w:rFonts w:ascii="Times New Roman" w:eastAsia="Cambria" w:hAnsi="Times New Roman"/>
          <w:lang w:val="en-US" w:eastAsia="en-US"/>
        </w:rPr>
        <w:t xml:space="preserve">p in </w:t>
      </w:r>
      <w:r w:rsidR="00E75CAA">
        <w:rPr>
          <w:rFonts w:ascii="Times New Roman" w:eastAsia="Cambria" w:hAnsi="Times New Roman"/>
          <w:lang w:val="en-US" w:eastAsia="en-US"/>
        </w:rPr>
        <w:lastRenderedPageBreak/>
        <w:t xml:space="preserve">terms of differences in goal progress between causes </w:t>
      </w:r>
      <w:r w:rsidR="00CE6EEF">
        <w:rPr>
          <w:rFonts w:ascii="Times New Roman" w:eastAsia="Cambria" w:hAnsi="Times New Roman"/>
          <w:lang w:val="en-US" w:eastAsia="en-US"/>
        </w:rPr>
        <w:t>serves as an indicator of relative need for help. In support of this</w:t>
      </w:r>
      <w:r w:rsidR="00E75CAA">
        <w:rPr>
          <w:rFonts w:ascii="Times New Roman" w:eastAsia="Cambria" w:hAnsi="Times New Roman"/>
          <w:lang w:val="en-US" w:eastAsia="en-US"/>
        </w:rPr>
        <w:t>,</w:t>
      </w:r>
      <w:r w:rsidR="00CE6EEF">
        <w:rPr>
          <w:rFonts w:ascii="Times New Roman" w:eastAsia="Cambria" w:hAnsi="Times New Roman"/>
          <w:lang w:val="en-US" w:eastAsia="en-US"/>
        </w:rPr>
        <w:t xml:space="preserve"> we find that our effect is diminished when the size of the gap between charities close</w:t>
      </w:r>
      <w:r w:rsidR="00051514">
        <w:rPr>
          <w:rFonts w:ascii="Times New Roman" w:eastAsia="Cambria" w:hAnsi="Times New Roman"/>
          <w:lang w:val="en-US" w:eastAsia="en-US"/>
        </w:rPr>
        <w:t>r</w:t>
      </w:r>
      <w:r w:rsidR="00CE6EEF">
        <w:rPr>
          <w:rFonts w:ascii="Times New Roman" w:eastAsia="Cambria" w:hAnsi="Times New Roman"/>
          <w:lang w:val="en-US" w:eastAsia="en-US"/>
        </w:rPr>
        <w:t xml:space="preserve"> to versus farther from their goal is smaller.</w:t>
      </w:r>
    </w:p>
    <w:p w14:paraId="6ACAF1AF" w14:textId="7D19B65B" w:rsidR="006F1106" w:rsidRDefault="007E7906" w:rsidP="001E0542">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Finally</w:t>
      </w:r>
      <w:r w:rsidR="006F1106" w:rsidRPr="00D16B79">
        <w:rPr>
          <w:rFonts w:ascii="Times New Roman" w:eastAsia="Cambria" w:hAnsi="Times New Roman"/>
          <w:lang w:val="en-US" w:eastAsia="en-US"/>
        </w:rPr>
        <w:t>, from a practical perspective</w:t>
      </w:r>
      <w:r w:rsidR="00147385" w:rsidRPr="00D16B79">
        <w:rPr>
          <w:rFonts w:ascii="Times New Roman" w:eastAsia="Cambria" w:hAnsi="Times New Roman"/>
          <w:lang w:val="en-US" w:eastAsia="en-US"/>
        </w:rPr>
        <w:t>,</w:t>
      </w:r>
      <w:r w:rsidR="006F1106" w:rsidRPr="00D16B79">
        <w:rPr>
          <w:rFonts w:ascii="Times New Roman" w:eastAsia="Cambria" w:hAnsi="Times New Roman"/>
          <w:lang w:val="en-US" w:eastAsia="en-US"/>
        </w:rPr>
        <w:t xml:space="preserve"> this work demonstrates an easy</w:t>
      </w:r>
      <w:r w:rsidR="00433DE5" w:rsidRPr="00D16B79">
        <w:rPr>
          <w:rFonts w:ascii="Times New Roman" w:eastAsia="Cambria" w:hAnsi="Times New Roman"/>
          <w:lang w:val="en-US" w:eastAsia="en-US"/>
        </w:rPr>
        <w:t>-</w:t>
      </w:r>
      <w:r w:rsidR="006F1106" w:rsidRPr="00D16B79">
        <w:rPr>
          <w:rFonts w:ascii="Times New Roman" w:eastAsia="Cambria" w:hAnsi="Times New Roman"/>
          <w:lang w:val="en-US" w:eastAsia="en-US"/>
        </w:rPr>
        <w:t>to</w:t>
      </w:r>
      <w:r w:rsidR="00433DE5" w:rsidRPr="00D16B79">
        <w:rPr>
          <w:rFonts w:ascii="Times New Roman" w:eastAsia="Cambria" w:hAnsi="Times New Roman"/>
          <w:lang w:val="en-US" w:eastAsia="en-US"/>
        </w:rPr>
        <w:t>-</w:t>
      </w:r>
      <w:r w:rsidR="006F1106" w:rsidRPr="00D16B79">
        <w:rPr>
          <w:rFonts w:ascii="Times New Roman" w:eastAsia="Cambria" w:hAnsi="Times New Roman"/>
          <w:lang w:val="en-US" w:eastAsia="en-US"/>
        </w:rPr>
        <w:t xml:space="preserve">implement solution to direct funds where they are most </w:t>
      </w:r>
      <w:r w:rsidR="008A19B7" w:rsidRPr="00D16B79">
        <w:rPr>
          <w:rFonts w:ascii="Times New Roman" w:eastAsia="Cambria" w:hAnsi="Times New Roman"/>
          <w:lang w:val="en-US" w:eastAsia="en-US"/>
        </w:rPr>
        <w:t xml:space="preserve">needed </w:t>
      </w:r>
      <w:r w:rsidR="006F1106" w:rsidRPr="00D16B79">
        <w:rPr>
          <w:rFonts w:ascii="Times New Roman" w:eastAsia="Cambria" w:hAnsi="Times New Roman"/>
          <w:lang w:val="en-US" w:eastAsia="en-US"/>
        </w:rPr>
        <w:t xml:space="preserve">through a simple change in presentation format </w:t>
      </w:r>
      <w:r w:rsidR="00E57C8F" w:rsidRPr="00D16B79">
        <w:rPr>
          <w:rFonts w:ascii="Times New Roman" w:eastAsia="Cambria" w:hAnsi="Times New Roman"/>
          <w:lang w:val="en-US" w:eastAsia="en-US"/>
        </w:rPr>
        <w:t xml:space="preserve">for </w:t>
      </w:r>
      <w:r w:rsidR="006F1106" w:rsidRPr="00D16B79">
        <w:rPr>
          <w:rFonts w:ascii="Times New Roman" w:eastAsia="Cambria" w:hAnsi="Times New Roman"/>
          <w:lang w:val="en-US" w:eastAsia="en-US"/>
        </w:rPr>
        <w:t>online fundraising platforms</w:t>
      </w:r>
      <w:r w:rsidR="002C7B31" w:rsidRPr="00D16B79">
        <w:rPr>
          <w:rFonts w:ascii="Times New Roman" w:eastAsia="Cambria" w:hAnsi="Times New Roman"/>
          <w:lang w:val="en-US" w:eastAsia="en-US"/>
        </w:rPr>
        <w:t xml:space="preserve">, </w:t>
      </w:r>
      <w:r w:rsidR="006F1106" w:rsidRPr="00D16B79">
        <w:rPr>
          <w:rFonts w:ascii="Times New Roman" w:eastAsia="Cambria" w:hAnsi="Times New Roman"/>
          <w:lang w:val="en-US" w:eastAsia="en-US"/>
        </w:rPr>
        <w:t>email communications</w:t>
      </w:r>
      <w:r w:rsidR="00433DE5" w:rsidRPr="00D16B79">
        <w:rPr>
          <w:rFonts w:ascii="Times New Roman" w:eastAsia="Cambria" w:hAnsi="Times New Roman"/>
          <w:lang w:val="en-US" w:eastAsia="en-US"/>
        </w:rPr>
        <w:t>,</w:t>
      </w:r>
      <w:r w:rsidR="002C7B31" w:rsidRPr="00D16B79">
        <w:rPr>
          <w:rFonts w:ascii="Times New Roman" w:eastAsia="Cambria" w:hAnsi="Times New Roman"/>
          <w:lang w:val="en-US" w:eastAsia="en-US"/>
        </w:rPr>
        <w:t xml:space="preserve"> or other medi</w:t>
      </w:r>
      <w:r w:rsidR="001230B4" w:rsidRPr="00D16B79">
        <w:rPr>
          <w:rFonts w:ascii="Times New Roman" w:eastAsia="Cambria" w:hAnsi="Times New Roman"/>
          <w:lang w:val="en-US" w:eastAsia="en-US"/>
        </w:rPr>
        <w:t>a</w:t>
      </w:r>
      <w:r w:rsidR="006F1106" w:rsidRPr="00D16B79">
        <w:rPr>
          <w:rFonts w:ascii="Times New Roman" w:eastAsia="Cambria" w:hAnsi="Times New Roman"/>
          <w:lang w:val="en-US" w:eastAsia="en-US"/>
        </w:rPr>
        <w:t xml:space="preserve">. </w:t>
      </w:r>
      <w:r w:rsidR="00280175" w:rsidRPr="00D16B79">
        <w:rPr>
          <w:rFonts w:ascii="Times New Roman" w:eastAsia="Cambria" w:hAnsi="Times New Roman"/>
          <w:lang w:val="en-US" w:eastAsia="en-US"/>
        </w:rPr>
        <w:t>Our</w:t>
      </w:r>
      <w:r w:rsidR="006F1106" w:rsidRPr="00D16B79">
        <w:rPr>
          <w:rFonts w:ascii="Times New Roman" w:eastAsia="Cambria" w:hAnsi="Times New Roman"/>
          <w:lang w:val="en-US" w:eastAsia="en-US"/>
        </w:rPr>
        <w:t xml:space="preserve"> research suggests that charit</w:t>
      </w:r>
      <w:r w:rsidR="00F575DB" w:rsidRPr="00D16B79">
        <w:rPr>
          <w:rFonts w:ascii="Times New Roman" w:eastAsia="Cambria" w:hAnsi="Times New Roman"/>
          <w:lang w:val="en-US" w:eastAsia="en-US"/>
        </w:rPr>
        <w:t>able</w:t>
      </w:r>
      <w:r w:rsidR="006F1106" w:rsidRPr="00D16B79">
        <w:rPr>
          <w:rFonts w:ascii="Times New Roman" w:eastAsia="Cambria" w:hAnsi="Times New Roman"/>
          <w:lang w:val="en-US" w:eastAsia="en-US"/>
        </w:rPr>
        <w:t xml:space="preserve"> marketers can effectively use comparative messaging and advertising </w:t>
      </w:r>
      <w:r w:rsidR="00C837D3" w:rsidRPr="00D16B79">
        <w:rPr>
          <w:rFonts w:ascii="Times New Roman" w:eastAsia="Cambria" w:hAnsi="Times New Roman"/>
          <w:lang w:val="en-US" w:eastAsia="en-US"/>
        </w:rPr>
        <w:t>to drive charitable giving</w:t>
      </w:r>
      <w:r w:rsidR="00C837D3" w:rsidRPr="00D16B79" w:rsidDel="00C837D3">
        <w:rPr>
          <w:rFonts w:ascii="Times New Roman" w:eastAsia="Cambria" w:hAnsi="Times New Roman"/>
          <w:lang w:val="en-US" w:eastAsia="en-US"/>
        </w:rPr>
        <w:t xml:space="preserve"> </w:t>
      </w:r>
      <w:r w:rsidR="00103EA1" w:rsidRPr="00D16B79">
        <w:rPr>
          <w:rFonts w:ascii="Times New Roman" w:eastAsia="Cambria" w:hAnsi="Times New Roman"/>
          <w:lang w:val="en-US" w:eastAsia="en-US"/>
        </w:rPr>
        <w:t xml:space="preserve">to projects </w:t>
      </w:r>
      <w:r w:rsidR="006F1106" w:rsidRPr="00D16B79">
        <w:rPr>
          <w:rFonts w:ascii="Times New Roman" w:eastAsia="Cambria" w:hAnsi="Times New Roman"/>
          <w:lang w:val="en-US" w:eastAsia="en-US"/>
        </w:rPr>
        <w:t xml:space="preserve">in their initial stages of </w:t>
      </w:r>
      <w:r w:rsidR="00F575DB" w:rsidRPr="00D16B79">
        <w:rPr>
          <w:rFonts w:ascii="Times New Roman" w:eastAsia="Cambria" w:hAnsi="Times New Roman"/>
          <w:lang w:val="en-US" w:eastAsia="en-US"/>
        </w:rPr>
        <w:t>fundraising</w:t>
      </w:r>
      <w:r w:rsidR="005D306B" w:rsidRPr="00D16B79">
        <w:rPr>
          <w:rFonts w:ascii="Times New Roman" w:eastAsia="Cambria" w:hAnsi="Times New Roman"/>
          <w:lang w:val="en-US" w:eastAsia="en-US"/>
        </w:rPr>
        <w:t xml:space="preserve"> or to projects that are struggling to raise funds</w:t>
      </w:r>
      <w:r w:rsidR="006F1106" w:rsidRPr="00D16B79">
        <w:rPr>
          <w:rFonts w:ascii="Times New Roman" w:eastAsia="Cambria" w:hAnsi="Times New Roman"/>
          <w:lang w:val="en-US" w:eastAsia="en-US"/>
        </w:rPr>
        <w:t>.</w:t>
      </w:r>
      <w:r w:rsidR="00A8175A" w:rsidRPr="00D16B79">
        <w:rPr>
          <w:rFonts w:ascii="Times New Roman" w:eastAsia="Cambria" w:hAnsi="Times New Roman"/>
          <w:lang w:val="en-US" w:eastAsia="en-US"/>
        </w:rPr>
        <w:t xml:space="preserve"> </w:t>
      </w:r>
      <w:r w:rsidR="000C30F7" w:rsidRPr="00D16B79">
        <w:rPr>
          <w:rFonts w:ascii="Times New Roman" w:eastAsia="Cambria" w:hAnsi="Times New Roman"/>
          <w:lang w:val="en-US" w:eastAsia="en-US"/>
        </w:rPr>
        <w:t>W</w:t>
      </w:r>
      <w:r w:rsidR="00A8175A" w:rsidRPr="00D16B79">
        <w:rPr>
          <w:rFonts w:ascii="Times New Roman" w:eastAsia="Cambria" w:hAnsi="Times New Roman"/>
          <w:lang w:val="en-US" w:eastAsia="en-US"/>
        </w:rPr>
        <w:t xml:space="preserve">e </w:t>
      </w:r>
      <w:r w:rsidR="006F1106" w:rsidRPr="00D16B79">
        <w:rPr>
          <w:rFonts w:ascii="Times New Roman" w:eastAsia="Cambria" w:hAnsi="Times New Roman"/>
          <w:lang w:val="en-US" w:eastAsia="en-US"/>
        </w:rPr>
        <w:t xml:space="preserve">next turn to </w:t>
      </w:r>
      <w:r w:rsidR="009144BC" w:rsidRPr="00D16B79">
        <w:rPr>
          <w:rFonts w:ascii="Times New Roman" w:eastAsia="Cambria" w:hAnsi="Times New Roman"/>
          <w:lang w:val="en-US" w:eastAsia="en-US"/>
        </w:rPr>
        <w:t>a</w:t>
      </w:r>
      <w:r w:rsidR="006F1106" w:rsidRPr="00D16B79">
        <w:rPr>
          <w:rFonts w:ascii="Times New Roman" w:eastAsia="Cambria" w:hAnsi="Times New Roman"/>
          <w:lang w:val="en-US" w:eastAsia="en-US"/>
        </w:rPr>
        <w:t xml:space="preserve"> discussion of the theoretical background.</w:t>
      </w:r>
    </w:p>
    <w:p w14:paraId="400FA4AE" w14:textId="77777777" w:rsidR="003F1D0C" w:rsidRPr="00D16B79" w:rsidRDefault="003F1D0C" w:rsidP="001E0542">
      <w:pPr>
        <w:spacing w:line="480" w:lineRule="auto"/>
        <w:ind w:firstLine="720"/>
        <w:rPr>
          <w:rFonts w:ascii="Times New Roman" w:eastAsia="Cambria" w:hAnsi="Times New Roman"/>
          <w:lang w:val="en-US" w:eastAsia="en-US"/>
        </w:rPr>
      </w:pPr>
    </w:p>
    <w:p w14:paraId="354273CE" w14:textId="229F33B6" w:rsidR="00BF3576" w:rsidRPr="00D16B79" w:rsidRDefault="00E21EAF" w:rsidP="00F55739">
      <w:pPr>
        <w:pStyle w:val="Heading1"/>
      </w:pPr>
      <w:r w:rsidRPr="00D16B79">
        <w:t>CONCEPTUAL DEVELOPMENT</w:t>
      </w:r>
    </w:p>
    <w:p w14:paraId="508F9C51" w14:textId="77777777" w:rsidR="00E21EAF" w:rsidRPr="00D16B79" w:rsidRDefault="00E21EAF" w:rsidP="001E0542">
      <w:pPr>
        <w:spacing w:line="480" w:lineRule="auto"/>
        <w:rPr>
          <w:lang w:val="en-US"/>
        </w:rPr>
      </w:pPr>
    </w:p>
    <w:p w14:paraId="02932002" w14:textId="3954D829" w:rsidR="00CF46CB" w:rsidRPr="00D16B79" w:rsidRDefault="00CF46CB" w:rsidP="001E0542">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Crowdfunding websites aim to </w:t>
      </w:r>
      <w:r w:rsidR="001200DA" w:rsidRPr="00D16B79">
        <w:rPr>
          <w:rFonts w:ascii="Times New Roman" w:eastAsia="Cambria" w:hAnsi="Times New Roman"/>
          <w:lang w:val="en-US" w:eastAsia="en-US"/>
        </w:rPr>
        <w:t>raise</w:t>
      </w:r>
      <w:r w:rsidRPr="00D16B79">
        <w:rPr>
          <w:rFonts w:ascii="Times New Roman" w:eastAsia="Cambria" w:hAnsi="Times New Roman"/>
          <w:lang w:val="en-US" w:eastAsia="en-US"/>
        </w:rPr>
        <w:t xml:space="preserve"> small amounts of </w:t>
      </w:r>
      <w:r w:rsidR="001200DA" w:rsidRPr="00D16B79">
        <w:rPr>
          <w:rFonts w:ascii="Times New Roman" w:eastAsia="Cambria" w:hAnsi="Times New Roman"/>
          <w:lang w:val="en-US" w:eastAsia="en-US"/>
        </w:rPr>
        <w:t xml:space="preserve">money </w:t>
      </w:r>
      <w:r w:rsidRPr="00D16B79">
        <w:rPr>
          <w:rFonts w:ascii="Times New Roman" w:eastAsia="Cambria" w:hAnsi="Times New Roman"/>
          <w:lang w:val="en-US" w:eastAsia="en-US"/>
        </w:rPr>
        <w:t xml:space="preserve">from a large number of </w:t>
      </w:r>
      <w:r w:rsidR="001200DA" w:rsidRPr="00D16B79">
        <w:rPr>
          <w:rFonts w:ascii="Times New Roman" w:eastAsia="Cambria" w:hAnsi="Times New Roman"/>
          <w:lang w:val="en-US" w:eastAsia="en-US"/>
        </w:rPr>
        <w:t xml:space="preserve">people </w:t>
      </w:r>
      <w:r w:rsidRPr="00D16B79">
        <w:rPr>
          <w:rFonts w:ascii="Times New Roman" w:eastAsia="Cambria" w:hAnsi="Times New Roman"/>
          <w:lang w:val="en-US" w:eastAsia="en-US"/>
        </w:rPr>
        <w:t xml:space="preserve">and are increasingly used by charities and individuals </w:t>
      </w:r>
      <w:r w:rsidR="001200DA" w:rsidRPr="00D16B79">
        <w:rPr>
          <w:rFonts w:ascii="Times New Roman" w:eastAsia="Cambria" w:hAnsi="Times New Roman"/>
          <w:lang w:val="en-US" w:eastAsia="en-US"/>
        </w:rPr>
        <w:t>when fundraising</w:t>
      </w:r>
      <w:r w:rsidR="002C7B31" w:rsidRPr="00D16B79">
        <w:rPr>
          <w:rFonts w:ascii="Times New Roman" w:eastAsia="Cambria" w:hAnsi="Times New Roman"/>
          <w:lang w:val="en-US" w:eastAsia="en-US"/>
        </w:rPr>
        <w:t xml:space="preserve"> </w:t>
      </w:r>
      <w:r w:rsidR="001200DA" w:rsidRPr="00D16B79">
        <w:rPr>
          <w:rFonts w:ascii="Times New Roman" w:eastAsia="Cambria" w:hAnsi="Times New Roman"/>
          <w:lang w:val="en-US" w:eastAsia="en-US"/>
        </w:rPr>
        <w:t xml:space="preserve">towards a </w:t>
      </w:r>
      <w:r w:rsidR="002C7B31" w:rsidRPr="00D16B79">
        <w:rPr>
          <w:rFonts w:ascii="Times New Roman" w:eastAsia="Cambria" w:hAnsi="Times New Roman"/>
          <w:lang w:val="en-US" w:eastAsia="en-US"/>
        </w:rPr>
        <w:t>goal</w:t>
      </w:r>
      <w:r w:rsidRPr="00D16B79">
        <w:rPr>
          <w:rFonts w:ascii="Times New Roman" w:eastAsia="Cambria" w:hAnsi="Times New Roman"/>
          <w:lang w:val="en-US" w:eastAsia="en-US"/>
        </w:rPr>
        <w:t xml:space="preserve">. For example, GoFundMe has helped raise over $5 billion from more than 50 million donors </w:t>
      </w:r>
      <w:r w:rsidR="004C7C91"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{"citationID":"Nt0pWtK7","properties":{"formattedCitation":"(GoFundMe 2022)","plainCitation":"(GoFundMe 2022)","noteIndex":0},"citationItems":[{"id":7342,"uris":["http://zotero.org/users/4606674/items/WMUEZIYJ"],"itemData":{"id":7342,"type":"webpage","abstract":"Learn about GoFundMe, the leader in online fundraising. Find out what countries we support and how trust, speed, and reach help make GoFundMe different.","container-title":"GoFundMe","language":"en-US","title":"About GoFundMe","URL":"https://www.gofundme.com/c/about-us/","author":[{"literal":"GoFundMe"}],"accessed":{"date-parts":[["2022",8,4]]},"issued":{"date-parts":[["2022",8,4]]}}}],"schema":"https://github.com/citation-style-language/schema/raw/master/csl-citation.json"} </w:instrText>
      </w:r>
      <w:r w:rsidR="004C7C91" w:rsidRPr="00D16B79">
        <w:rPr>
          <w:rFonts w:ascii="Times New Roman" w:eastAsia="Cambria" w:hAnsi="Times New Roman"/>
          <w:lang w:val="en-US" w:eastAsia="en-US"/>
        </w:rPr>
        <w:fldChar w:fldCharType="separate"/>
      </w:r>
      <w:r w:rsidR="003956F2" w:rsidRPr="00D16B79">
        <w:rPr>
          <w:rFonts w:ascii="Times New Roman" w:hAnsi="Times New Roman"/>
          <w:lang w:val="en-US"/>
        </w:rPr>
        <w:t>(GoFundMe 2022)</w:t>
      </w:r>
      <w:r w:rsidR="004C7C91" w:rsidRPr="00D16B79">
        <w:rPr>
          <w:rFonts w:ascii="Times New Roman" w:eastAsia="Cambria" w:hAnsi="Times New Roman"/>
          <w:lang w:val="en-US" w:eastAsia="en-US"/>
        </w:rPr>
        <w:fldChar w:fldCharType="end"/>
      </w:r>
      <w:r w:rsidR="003956F2" w:rsidRPr="00D16B79">
        <w:rPr>
          <w:rFonts w:ascii="Times New Roman" w:eastAsia="Cambria" w:hAnsi="Times New Roman"/>
          <w:lang w:val="en-US" w:eastAsia="en-US"/>
        </w:rPr>
        <w:t>,</w:t>
      </w:r>
      <w:r w:rsidRPr="00D16B79">
        <w:rPr>
          <w:rFonts w:ascii="Times New Roman" w:eastAsia="Cambria" w:hAnsi="Times New Roman"/>
          <w:lang w:val="en-US" w:eastAsia="en-US"/>
        </w:rPr>
        <w:t xml:space="preserve"> and Kiva has lent out $1.</w:t>
      </w:r>
      <w:r w:rsidR="00B3221F" w:rsidRPr="00D16B79">
        <w:rPr>
          <w:rFonts w:ascii="Times New Roman" w:eastAsia="Cambria" w:hAnsi="Times New Roman"/>
          <w:lang w:val="en-US" w:eastAsia="en-US"/>
        </w:rPr>
        <w:t>77</w:t>
      </w:r>
      <w:r w:rsidRPr="00D16B79">
        <w:rPr>
          <w:rFonts w:ascii="Times New Roman" w:eastAsia="Cambria" w:hAnsi="Times New Roman"/>
          <w:lang w:val="en-US" w:eastAsia="en-US"/>
        </w:rPr>
        <w:t xml:space="preserve"> billion </w:t>
      </w:r>
      <w:r w:rsidR="00D848DC" w:rsidRPr="00D16B79">
        <w:rPr>
          <w:rFonts w:ascii="Times New Roman" w:eastAsia="Cambria" w:hAnsi="Times New Roman"/>
          <w:lang w:val="en-US" w:eastAsia="en-US"/>
        </w:rPr>
        <w:t>in</w:t>
      </w:r>
      <w:r w:rsidRPr="00D16B79">
        <w:rPr>
          <w:rFonts w:ascii="Times New Roman" w:eastAsia="Cambria" w:hAnsi="Times New Roman"/>
          <w:lang w:val="en-US" w:eastAsia="en-US"/>
        </w:rPr>
        <w:t xml:space="preserve"> zero-interest loans to </w:t>
      </w:r>
      <w:r w:rsidR="00B3221F" w:rsidRPr="00D16B79">
        <w:rPr>
          <w:rFonts w:ascii="Times New Roman" w:eastAsia="Cambria" w:hAnsi="Times New Roman"/>
          <w:lang w:val="en-US" w:eastAsia="en-US"/>
        </w:rPr>
        <w:t>4.4</w:t>
      </w:r>
      <w:r w:rsidRPr="00D16B79">
        <w:rPr>
          <w:rFonts w:ascii="Times New Roman" w:eastAsia="Cambria" w:hAnsi="Times New Roman"/>
          <w:lang w:val="en-US" w:eastAsia="en-US"/>
        </w:rPr>
        <w:t xml:space="preserve"> million recipients </w:t>
      </w:r>
      <w:r w:rsidR="00B3221F"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{"citationID":"qn6KK3Vy","properties":{"formattedCitation":"(Kiva 2022)","plainCitation":"(Kiva 2022)","noteIndex":0},"citationItems":[{"id":7344,"uris":["http://zotero.org/users/4606674/items/498N5E9I"],"itemData":{"id":7344,"type":"webpage","abstract":"Kiva believes in the power of financial inclusion for everyone. Learn more about our mission, who we serve, and what makes us unique here.","container-title":"Kiva","language":"en","title":"About us","URL":"www.kiva.org/about","author":[{"literal":"Kiva"}],"accessed":{"date-parts":[["2022",8,4]]},"issued":{"date-parts":[["2022",8,4]]}}}],"schema":"https://github.com/citation-style-language/schema/raw/master/csl-citation.json"} </w:instrText>
      </w:r>
      <w:r w:rsidR="00B3221F" w:rsidRPr="00D16B79">
        <w:rPr>
          <w:rFonts w:ascii="Times New Roman" w:eastAsia="Cambria" w:hAnsi="Times New Roman"/>
          <w:lang w:val="en-US" w:eastAsia="en-US"/>
        </w:rPr>
        <w:fldChar w:fldCharType="separate"/>
      </w:r>
      <w:r w:rsidR="00B3221F" w:rsidRPr="00D16B79">
        <w:rPr>
          <w:rFonts w:ascii="Times New Roman" w:hAnsi="Times New Roman"/>
          <w:lang w:val="en-US"/>
        </w:rPr>
        <w:t>(Kiva 2022)</w:t>
      </w:r>
      <w:r w:rsidR="00B3221F" w:rsidRPr="00D16B79">
        <w:rPr>
          <w:rFonts w:ascii="Times New Roman" w:eastAsia="Cambria" w:hAnsi="Times New Roman"/>
          <w:lang w:val="en-US" w:eastAsia="en-US"/>
        </w:rPr>
        <w:fldChar w:fldCharType="end"/>
      </w:r>
      <w:r w:rsidRPr="00D16B79">
        <w:rPr>
          <w:rFonts w:ascii="Times New Roman" w:eastAsia="Cambria" w:hAnsi="Times New Roman"/>
          <w:lang w:val="en-US" w:eastAsia="en-US"/>
        </w:rPr>
        <w:t xml:space="preserve">. </w:t>
      </w:r>
    </w:p>
    <w:p w14:paraId="253AD836" w14:textId="30473D34" w:rsidR="00BF3576" w:rsidRPr="00D16B79" w:rsidRDefault="007F6B2E" w:rsidP="001E0542">
      <w:pPr>
        <w:spacing w:line="480" w:lineRule="auto"/>
        <w:ind w:firstLine="720"/>
        <w:rPr>
          <w:lang w:val="en-US"/>
        </w:rPr>
      </w:pPr>
      <w:r w:rsidRPr="00D16B79">
        <w:rPr>
          <w:lang w:val="en-US"/>
        </w:rPr>
        <w:t>For charities, t</w:t>
      </w:r>
      <w:r w:rsidR="00EC4CC8" w:rsidRPr="00D16B79">
        <w:rPr>
          <w:lang w:val="en-US"/>
        </w:rPr>
        <w:t xml:space="preserve">his </w:t>
      </w:r>
      <w:r w:rsidR="00A90078" w:rsidRPr="00D16B79">
        <w:rPr>
          <w:lang w:val="en-US"/>
        </w:rPr>
        <w:t xml:space="preserve">new </w:t>
      </w:r>
      <w:r w:rsidR="00EE4067" w:rsidRPr="00D16B79">
        <w:rPr>
          <w:lang w:val="en-US"/>
        </w:rPr>
        <w:t>crowdfunding</w:t>
      </w:r>
      <w:r w:rsidR="007C76D5" w:rsidRPr="00D16B79">
        <w:rPr>
          <w:lang w:val="en-US"/>
        </w:rPr>
        <w:t xml:space="preserve"> </w:t>
      </w:r>
      <w:r w:rsidR="00A90078" w:rsidRPr="00D16B79">
        <w:rPr>
          <w:lang w:val="en-US"/>
        </w:rPr>
        <w:t>landscape</w:t>
      </w:r>
      <w:r w:rsidR="00EE4067" w:rsidRPr="00D16B79">
        <w:rPr>
          <w:lang w:val="en-US"/>
        </w:rPr>
        <w:t xml:space="preserve"> </w:t>
      </w:r>
      <w:r w:rsidR="00EC4CC8" w:rsidRPr="00D16B79">
        <w:rPr>
          <w:lang w:val="en-US"/>
        </w:rPr>
        <w:t xml:space="preserve">brings </w:t>
      </w:r>
      <w:r w:rsidR="00270124" w:rsidRPr="00D16B79">
        <w:rPr>
          <w:lang w:val="en-US"/>
        </w:rPr>
        <w:t xml:space="preserve">two key </w:t>
      </w:r>
      <w:r w:rsidR="00EC4CC8" w:rsidRPr="00D16B79">
        <w:rPr>
          <w:lang w:val="en-US"/>
        </w:rPr>
        <w:t xml:space="preserve">changes from </w:t>
      </w:r>
      <w:r w:rsidR="00270124" w:rsidRPr="00D16B79">
        <w:rPr>
          <w:lang w:val="en-US"/>
        </w:rPr>
        <w:t xml:space="preserve">prior methods of fundraising that are relevant to </w:t>
      </w:r>
      <w:r w:rsidR="00F575DB" w:rsidRPr="00D16B79">
        <w:rPr>
          <w:lang w:val="en-US"/>
        </w:rPr>
        <w:t xml:space="preserve">the current </w:t>
      </w:r>
      <w:r w:rsidR="00270124" w:rsidRPr="00D16B79">
        <w:rPr>
          <w:lang w:val="en-US"/>
        </w:rPr>
        <w:t>research</w:t>
      </w:r>
      <w:r w:rsidR="00A90078" w:rsidRPr="00D16B79">
        <w:rPr>
          <w:lang w:val="en-US"/>
        </w:rPr>
        <w:t>. First</w:t>
      </w:r>
      <w:r w:rsidR="006A1D36" w:rsidRPr="00D16B79">
        <w:rPr>
          <w:lang w:val="en-US"/>
        </w:rPr>
        <w:t>,</w:t>
      </w:r>
      <w:r w:rsidR="00A90078" w:rsidRPr="00D16B79">
        <w:rPr>
          <w:lang w:val="en-US"/>
        </w:rPr>
        <w:t xml:space="preserve"> </w:t>
      </w:r>
      <w:r w:rsidR="00F575DB" w:rsidRPr="00D16B79">
        <w:rPr>
          <w:lang w:val="en-US"/>
        </w:rPr>
        <w:t xml:space="preserve">crowdfunding </w:t>
      </w:r>
      <w:r w:rsidR="00A90078" w:rsidRPr="00D16B79">
        <w:rPr>
          <w:lang w:val="en-US"/>
        </w:rPr>
        <w:t>has made it much easier</w:t>
      </w:r>
      <w:r w:rsidR="00F13060" w:rsidRPr="00D16B79">
        <w:rPr>
          <w:lang w:val="en-US"/>
        </w:rPr>
        <w:t xml:space="preserve"> for donors</w:t>
      </w:r>
      <w:r w:rsidR="00A90078" w:rsidRPr="00D16B79">
        <w:rPr>
          <w:lang w:val="en-US"/>
        </w:rPr>
        <w:t xml:space="preserve"> to compare and evaluate multiple charitable </w:t>
      </w:r>
      <w:r w:rsidR="001200DA" w:rsidRPr="00D16B79">
        <w:rPr>
          <w:lang w:val="en-US"/>
        </w:rPr>
        <w:t xml:space="preserve">projects </w:t>
      </w:r>
      <w:r w:rsidR="00A90078" w:rsidRPr="00D16B79">
        <w:rPr>
          <w:lang w:val="en-US"/>
        </w:rPr>
        <w:t xml:space="preserve">simultaneously. This </w:t>
      </w:r>
      <w:r w:rsidR="002911A6" w:rsidRPr="00D16B79">
        <w:rPr>
          <w:lang w:val="en-US"/>
        </w:rPr>
        <w:t>differs</w:t>
      </w:r>
      <w:r w:rsidR="00270124" w:rsidRPr="00D16B79">
        <w:rPr>
          <w:lang w:val="en-US"/>
        </w:rPr>
        <w:t xml:space="preserve"> </w:t>
      </w:r>
      <w:r w:rsidR="00A90078" w:rsidRPr="00D16B79">
        <w:rPr>
          <w:lang w:val="en-US"/>
        </w:rPr>
        <w:t>from</w:t>
      </w:r>
      <w:r w:rsidR="002911A6" w:rsidRPr="00D16B79">
        <w:rPr>
          <w:lang w:val="en-US"/>
        </w:rPr>
        <w:t xml:space="preserve"> traditional forms of charitable marketing where</w:t>
      </w:r>
      <w:r w:rsidR="00A90078" w:rsidRPr="00D16B79">
        <w:rPr>
          <w:lang w:val="en-US"/>
        </w:rPr>
        <w:t xml:space="preserve"> </w:t>
      </w:r>
      <w:r w:rsidR="00FE5238" w:rsidRPr="00D16B79">
        <w:rPr>
          <w:lang w:val="en-US"/>
        </w:rPr>
        <w:t>potential donors</w:t>
      </w:r>
      <w:r w:rsidR="00A90078" w:rsidRPr="00D16B79">
        <w:rPr>
          <w:lang w:val="en-US"/>
        </w:rPr>
        <w:t xml:space="preserve"> </w:t>
      </w:r>
      <w:r w:rsidR="002911A6" w:rsidRPr="00D16B79">
        <w:rPr>
          <w:lang w:val="en-US"/>
        </w:rPr>
        <w:t xml:space="preserve">often </w:t>
      </w:r>
      <w:r w:rsidR="00A90078" w:rsidRPr="00D16B79">
        <w:rPr>
          <w:lang w:val="en-US"/>
        </w:rPr>
        <w:t>receiv</w:t>
      </w:r>
      <w:r w:rsidR="002911A6" w:rsidRPr="00D16B79">
        <w:rPr>
          <w:lang w:val="en-US"/>
        </w:rPr>
        <w:t xml:space="preserve">e </w:t>
      </w:r>
      <w:r w:rsidR="00F575DB" w:rsidRPr="00D16B79">
        <w:rPr>
          <w:lang w:val="en-US"/>
        </w:rPr>
        <w:t xml:space="preserve">direct marketing communications </w:t>
      </w:r>
      <w:r w:rsidR="002911A6" w:rsidRPr="00D16B79">
        <w:rPr>
          <w:lang w:val="en-US"/>
        </w:rPr>
        <w:t>via mail, phone, or email</w:t>
      </w:r>
      <w:r w:rsidR="005527F8" w:rsidRPr="00D16B79">
        <w:rPr>
          <w:lang w:val="en-US"/>
        </w:rPr>
        <w:t>,</w:t>
      </w:r>
      <w:r w:rsidR="002911A6" w:rsidRPr="00D16B79">
        <w:rPr>
          <w:lang w:val="en-US"/>
        </w:rPr>
        <w:t xml:space="preserve"> focusing</w:t>
      </w:r>
      <w:r w:rsidR="007C76D5" w:rsidRPr="00D16B79">
        <w:rPr>
          <w:lang w:val="en-US"/>
        </w:rPr>
        <w:t xml:space="preserve"> their attention </w:t>
      </w:r>
      <w:r w:rsidR="002911A6" w:rsidRPr="00D16B79">
        <w:rPr>
          <w:lang w:val="en-US"/>
        </w:rPr>
        <w:t xml:space="preserve">on </w:t>
      </w:r>
      <w:r w:rsidR="007C76D5" w:rsidRPr="00D16B79">
        <w:rPr>
          <w:lang w:val="en-US"/>
        </w:rPr>
        <w:t>a single target organization trying to raise funds</w:t>
      </w:r>
      <w:r w:rsidR="00A90078" w:rsidRPr="00D16B79">
        <w:rPr>
          <w:lang w:val="en-US"/>
        </w:rPr>
        <w:t xml:space="preserve">. Second, consumers now </w:t>
      </w:r>
      <w:r w:rsidR="005527F8" w:rsidRPr="00D16B79">
        <w:rPr>
          <w:lang w:val="en-US"/>
        </w:rPr>
        <w:t xml:space="preserve">often </w:t>
      </w:r>
      <w:r w:rsidR="00A90078" w:rsidRPr="00D16B79">
        <w:rPr>
          <w:lang w:val="en-US"/>
        </w:rPr>
        <w:t xml:space="preserve">receive real-time, up-to-date </w:t>
      </w:r>
      <w:r w:rsidR="00A90078" w:rsidRPr="00D16B79">
        <w:rPr>
          <w:lang w:val="en-US"/>
        </w:rPr>
        <w:lastRenderedPageBreak/>
        <w:t>information about an organization’s progress, such as how much money has been raised and how far an organization is from its goal. Th</w:t>
      </w:r>
      <w:r w:rsidR="00983F71" w:rsidRPr="00D16B79">
        <w:rPr>
          <w:lang w:val="en-US"/>
        </w:rPr>
        <w:t>is</w:t>
      </w:r>
      <w:r w:rsidR="00A90078" w:rsidRPr="00D16B79">
        <w:rPr>
          <w:lang w:val="en-US"/>
        </w:rPr>
        <w:t xml:space="preserve"> </w:t>
      </w:r>
      <w:r w:rsidR="008B13AA" w:rsidRPr="00D16B79">
        <w:rPr>
          <w:lang w:val="en-US"/>
        </w:rPr>
        <w:t xml:space="preserve">gives </w:t>
      </w:r>
      <w:r w:rsidR="00A90078" w:rsidRPr="00D16B79">
        <w:rPr>
          <w:lang w:val="en-US"/>
        </w:rPr>
        <w:t>consumers additiona</w:t>
      </w:r>
      <w:r w:rsidR="00EC4CC8" w:rsidRPr="00D16B79">
        <w:rPr>
          <w:lang w:val="en-US"/>
        </w:rPr>
        <w:t>l</w:t>
      </w:r>
      <w:r w:rsidR="00A90078" w:rsidRPr="00D16B79">
        <w:rPr>
          <w:lang w:val="en-US"/>
        </w:rPr>
        <w:t xml:space="preserve"> information to use when </w:t>
      </w:r>
      <w:r w:rsidR="0097799B" w:rsidRPr="00D16B79">
        <w:rPr>
          <w:lang w:val="en-US"/>
        </w:rPr>
        <w:t>deciding whether and how much</w:t>
      </w:r>
      <w:r w:rsidR="00983F71" w:rsidRPr="00D16B79">
        <w:rPr>
          <w:lang w:val="en-US"/>
        </w:rPr>
        <w:t xml:space="preserve"> to give</w:t>
      </w:r>
      <w:r w:rsidR="006637DC" w:rsidRPr="00D16B79">
        <w:rPr>
          <w:lang w:val="en-US"/>
        </w:rPr>
        <w:t xml:space="preserve"> to a charitable cause</w:t>
      </w:r>
      <w:r w:rsidR="00A90078" w:rsidRPr="00D16B79">
        <w:rPr>
          <w:lang w:val="en-US"/>
        </w:rPr>
        <w:t>.</w:t>
      </w:r>
    </w:p>
    <w:p w14:paraId="2CDAD80D" w14:textId="0929190A" w:rsidR="00E21E3E" w:rsidRPr="00D16B79" w:rsidRDefault="009A50D7" w:rsidP="001E0542">
      <w:pPr>
        <w:spacing w:line="480" w:lineRule="auto"/>
        <w:rPr>
          <w:lang w:val="en-US"/>
        </w:rPr>
      </w:pPr>
      <w:r w:rsidRPr="00D16B79">
        <w:rPr>
          <w:lang w:val="en-US"/>
        </w:rPr>
        <w:tab/>
      </w:r>
      <w:r w:rsidR="0008083F" w:rsidRPr="00D16B79">
        <w:rPr>
          <w:lang w:val="en-US"/>
        </w:rPr>
        <w:t>W</w:t>
      </w:r>
      <w:r w:rsidR="00A90078" w:rsidRPr="00D16B79">
        <w:rPr>
          <w:lang w:val="en-US"/>
        </w:rPr>
        <w:t xml:space="preserve">e investigate the </w:t>
      </w:r>
      <w:r w:rsidR="006637DC" w:rsidRPr="00D16B79">
        <w:rPr>
          <w:lang w:val="en-US"/>
        </w:rPr>
        <w:t>potential consequences</w:t>
      </w:r>
      <w:r w:rsidR="00A90078" w:rsidRPr="00D16B79">
        <w:rPr>
          <w:lang w:val="en-US"/>
        </w:rPr>
        <w:t xml:space="preserve"> of these changes</w:t>
      </w:r>
      <w:r w:rsidR="000B585E" w:rsidRPr="00D16B79">
        <w:rPr>
          <w:lang w:val="en-US"/>
        </w:rPr>
        <w:t xml:space="preserve"> in </w:t>
      </w:r>
      <w:r w:rsidR="00183513" w:rsidRPr="00D16B79">
        <w:rPr>
          <w:lang w:val="en-US"/>
        </w:rPr>
        <w:t>evaluation mode</w:t>
      </w:r>
      <w:r w:rsidR="007F6B2E" w:rsidRPr="00D16B79">
        <w:rPr>
          <w:lang w:val="en-US"/>
        </w:rPr>
        <w:t xml:space="preserve"> (i.e., separate v</w:t>
      </w:r>
      <w:r w:rsidR="00916A2D" w:rsidRPr="00D16B79">
        <w:rPr>
          <w:lang w:val="en-US"/>
        </w:rPr>
        <w:t>s.</w:t>
      </w:r>
      <w:r w:rsidR="007F6B2E" w:rsidRPr="00D16B79">
        <w:rPr>
          <w:lang w:val="en-US"/>
        </w:rPr>
        <w:t xml:space="preserve"> joint evaluation)</w:t>
      </w:r>
      <w:r w:rsidR="00183513" w:rsidRPr="00D16B79">
        <w:rPr>
          <w:lang w:val="en-US"/>
        </w:rPr>
        <w:t xml:space="preserve"> and </w:t>
      </w:r>
      <w:r w:rsidR="000B585E" w:rsidRPr="00D16B79">
        <w:rPr>
          <w:lang w:val="en-US"/>
        </w:rPr>
        <w:t>availability</w:t>
      </w:r>
      <w:r w:rsidR="007F6B2E" w:rsidRPr="00D16B79">
        <w:rPr>
          <w:lang w:val="en-US"/>
        </w:rPr>
        <w:t xml:space="preserve"> of</w:t>
      </w:r>
      <w:r w:rsidR="00A90078" w:rsidRPr="00D16B79">
        <w:rPr>
          <w:lang w:val="en-US"/>
        </w:rPr>
        <w:t xml:space="preserve"> </w:t>
      </w:r>
      <w:r w:rsidR="007F6B2E" w:rsidRPr="00D16B79">
        <w:rPr>
          <w:lang w:val="en-US"/>
        </w:rPr>
        <w:t xml:space="preserve">information </w:t>
      </w:r>
      <w:r w:rsidR="009542C4" w:rsidRPr="00D16B79">
        <w:rPr>
          <w:lang w:val="en-US"/>
        </w:rPr>
        <w:t>about</w:t>
      </w:r>
      <w:r w:rsidR="007F6B2E" w:rsidRPr="00D16B79">
        <w:rPr>
          <w:lang w:val="en-US"/>
        </w:rPr>
        <w:t xml:space="preserve"> goal progress on </w:t>
      </w:r>
      <w:r w:rsidR="00A90078" w:rsidRPr="00D16B79">
        <w:rPr>
          <w:lang w:val="en-US"/>
        </w:rPr>
        <w:t xml:space="preserve">consumers’ </w:t>
      </w:r>
      <w:r w:rsidR="00403013">
        <w:rPr>
          <w:lang w:val="en-US"/>
        </w:rPr>
        <w:t xml:space="preserve">charitable </w:t>
      </w:r>
      <w:r w:rsidR="00A90078" w:rsidRPr="00D16B79">
        <w:rPr>
          <w:lang w:val="en-US"/>
        </w:rPr>
        <w:t xml:space="preserve">decision making. </w:t>
      </w:r>
      <w:r w:rsidR="00160C25" w:rsidRPr="00D16B79">
        <w:rPr>
          <w:lang w:val="en-US"/>
        </w:rPr>
        <w:t>Specifically</w:t>
      </w:r>
      <w:r w:rsidR="0061347D" w:rsidRPr="00D16B79">
        <w:rPr>
          <w:lang w:val="en-US"/>
        </w:rPr>
        <w:t>,</w:t>
      </w:r>
      <w:r w:rsidR="00160C25" w:rsidRPr="00D16B79">
        <w:rPr>
          <w:lang w:val="en-US"/>
        </w:rPr>
        <w:t xml:space="preserve"> we </w:t>
      </w:r>
      <w:r w:rsidR="002D5312">
        <w:rPr>
          <w:lang w:val="en-US"/>
        </w:rPr>
        <w:t>examine</w:t>
      </w:r>
      <w:r w:rsidR="00160C25" w:rsidRPr="00D16B79">
        <w:rPr>
          <w:lang w:val="en-US"/>
        </w:rPr>
        <w:t xml:space="preserve"> how consumers choose </w:t>
      </w:r>
      <w:r w:rsidR="006637DC" w:rsidRPr="00D16B79">
        <w:rPr>
          <w:lang w:val="en-US"/>
        </w:rPr>
        <w:t xml:space="preserve">to allocate charitable </w:t>
      </w:r>
      <w:r w:rsidR="00160C25" w:rsidRPr="00D16B79">
        <w:rPr>
          <w:lang w:val="en-US"/>
        </w:rPr>
        <w:t xml:space="preserve">support when they </w:t>
      </w:r>
      <w:r w:rsidR="00183513" w:rsidRPr="00D16B79">
        <w:rPr>
          <w:lang w:val="en-US"/>
        </w:rPr>
        <w:t>evaluate</w:t>
      </w:r>
      <w:r w:rsidR="00EB09C2" w:rsidRPr="00D16B79">
        <w:rPr>
          <w:lang w:val="en-US"/>
        </w:rPr>
        <w:t xml:space="preserve"> option</w:t>
      </w:r>
      <w:r w:rsidR="005D306B" w:rsidRPr="00D16B79">
        <w:rPr>
          <w:lang w:val="en-US"/>
        </w:rPr>
        <w:t xml:space="preserve">s together </w:t>
      </w:r>
      <w:r w:rsidR="003F62CA" w:rsidRPr="00D16B79">
        <w:rPr>
          <w:lang w:val="en-US"/>
        </w:rPr>
        <w:t xml:space="preserve">versus </w:t>
      </w:r>
      <w:r w:rsidR="005D306B" w:rsidRPr="00D16B79">
        <w:rPr>
          <w:lang w:val="en-US"/>
        </w:rPr>
        <w:t>on their own</w:t>
      </w:r>
      <w:r w:rsidR="00EB09C2" w:rsidRPr="00D16B79">
        <w:rPr>
          <w:lang w:val="en-US"/>
        </w:rPr>
        <w:t xml:space="preserve"> and </w:t>
      </w:r>
      <w:r w:rsidR="00183513" w:rsidRPr="00D16B79">
        <w:rPr>
          <w:lang w:val="en-US"/>
        </w:rPr>
        <w:t xml:space="preserve">have </w:t>
      </w:r>
      <w:r w:rsidR="00EB09C2" w:rsidRPr="00D16B79">
        <w:rPr>
          <w:lang w:val="en-US"/>
        </w:rPr>
        <w:t xml:space="preserve">information about each </w:t>
      </w:r>
      <w:r w:rsidR="00E77745" w:rsidRPr="00D16B79">
        <w:rPr>
          <w:lang w:val="en-US"/>
        </w:rPr>
        <w:t xml:space="preserve">charity’s </w:t>
      </w:r>
      <w:r w:rsidR="00EB09C2" w:rsidRPr="00D16B79">
        <w:rPr>
          <w:lang w:val="en-US"/>
        </w:rPr>
        <w:t>progress towards its goal</w:t>
      </w:r>
      <w:r w:rsidR="00A90078" w:rsidRPr="00D16B79">
        <w:rPr>
          <w:lang w:val="en-US"/>
        </w:rPr>
        <w:t xml:space="preserve">. We </w:t>
      </w:r>
      <w:r w:rsidR="00160818" w:rsidRPr="00D16B79">
        <w:rPr>
          <w:lang w:val="en-US"/>
        </w:rPr>
        <w:t xml:space="preserve">predict and </w:t>
      </w:r>
      <w:r w:rsidR="00DD1BB0" w:rsidRPr="00D16B79">
        <w:rPr>
          <w:lang w:val="en-US"/>
        </w:rPr>
        <w:t>demonstrate</w:t>
      </w:r>
      <w:r w:rsidR="00A90078" w:rsidRPr="00D16B79">
        <w:rPr>
          <w:lang w:val="en-US"/>
        </w:rPr>
        <w:t xml:space="preserve"> that</w:t>
      </w:r>
      <w:r w:rsidR="002911A6" w:rsidRPr="00D16B79">
        <w:rPr>
          <w:lang w:val="en-US"/>
        </w:rPr>
        <w:t>,</w:t>
      </w:r>
      <w:r w:rsidR="00A90078" w:rsidRPr="00D16B79">
        <w:rPr>
          <w:lang w:val="en-US"/>
        </w:rPr>
        <w:t xml:space="preserve"> in joint evaluation, when </w:t>
      </w:r>
      <w:r w:rsidR="007F6B2E" w:rsidRPr="00D16B79">
        <w:rPr>
          <w:lang w:val="en-US"/>
        </w:rPr>
        <w:t>consumers</w:t>
      </w:r>
      <w:r w:rsidR="00A90078" w:rsidRPr="00D16B79">
        <w:rPr>
          <w:lang w:val="en-US"/>
        </w:rPr>
        <w:t xml:space="preserve"> are explicitly shown two </w:t>
      </w:r>
      <w:r w:rsidR="007F6B2E" w:rsidRPr="00D16B79">
        <w:rPr>
          <w:lang w:val="en-US"/>
        </w:rPr>
        <w:t xml:space="preserve">or more </w:t>
      </w:r>
      <w:r w:rsidR="00160818" w:rsidRPr="00D16B79">
        <w:rPr>
          <w:lang w:val="en-US"/>
        </w:rPr>
        <w:t xml:space="preserve">charitable projects </w:t>
      </w:r>
      <w:r w:rsidR="00A90078" w:rsidRPr="00D16B79">
        <w:rPr>
          <w:lang w:val="en-US"/>
        </w:rPr>
        <w:t xml:space="preserve">at different levels of goal progress, they </w:t>
      </w:r>
      <w:r w:rsidR="00F13060" w:rsidRPr="00D16B79">
        <w:rPr>
          <w:lang w:val="en-US"/>
        </w:rPr>
        <w:t xml:space="preserve">tend to </w:t>
      </w:r>
      <w:r w:rsidR="00A90078" w:rsidRPr="00D16B79">
        <w:rPr>
          <w:lang w:val="en-US"/>
        </w:rPr>
        <w:t xml:space="preserve">donate </w:t>
      </w:r>
      <w:r w:rsidR="00215149" w:rsidRPr="00D16B79">
        <w:rPr>
          <w:lang w:val="en-US"/>
        </w:rPr>
        <w:t xml:space="preserve">more </w:t>
      </w:r>
      <w:r w:rsidR="00A90078" w:rsidRPr="00D16B79">
        <w:rPr>
          <w:lang w:val="en-US"/>
        </w:rPr>
        <w:t xml:space="preserve">to the one that is </w:t>
      </w:r>
      <w:r w:rsidR="003C404E" w:rsidRPr="00D16B79">
        <w:rPr>
          <w:lang w:val="en-US"/>
        </w:rPr>
        <w:t>farther</w:t>
      </w:r>
      <w:r w:rsidR="00A90078" w:rsidRPr="00D16B79">
        <w:rPr>
          <w:lang w:val="en-US"/>
        </w:rPr>
        <w:t xml:space="preserve"> from </w:t>
      </w:r>
      <w:r w:rsidR="003B26C6" w:rsidRPr="00D16B79">
        <w:rPr>
          <w:lang w:val="en-US"/>
        </w:rPr>
        <w:t>its</w:t>
      </w:r>
      <w:r w:rsidR="00A90078" w:rsidRPr="00D16B79">
        <w:rPr>
          <w:lang w:val="en-US"/>
        </w:rPr>
        <w:t xml:space="preserve"> goal.</w:t>
      </w:r>
      <w:r w:rsidR="000B585E" w:rsidRPr="00D16B79">
        <w:rPr>
          <w:lang w:val="en-US"/>
        </w:rPr>
        <w:t xml:space="preserve"> </w:t>
      </w:r>
      <w:r w:rsidR="00A90078" w:rsidRPr="0049617F">
        <w:rPr>
          <w:lang w:val="en-US"/>
        </w:rPr>
        <w:t xml:space="preserve">Furthermore, we </w:t>
      </w:r>
      <w:r w:rsidR="00DD1BB0" w:rsidRPr="0049617F">
        <w:rPr>
          <w:lang w:val="en-US"/>
        </w:rPr>
        <w:t>predict</w:t>
      </w:r>
      <w:r w:rsidR="00215149" w:rsidRPr="0049617F">
        <w:rPr>
          <w:lang w:val="en-US"/>
        </w:rPr>
        <w:t xml:space="preserve"> and find</w:t>
      </w:r>
      <w:r w:rsidR="00A90078" w:rsidRPr="0049617F">
        <w:rPr>
          <w:lang w:val="en-US"/>
        </w:rPr>
        <w:t xml:space="preserve"> that this effect </w:t>
      </w:r>
      <w:r w:rsidR="0036594E" w:rsidRPr="0049617F">
        <w:rPr>
          <w:lang w:val="en-US"/>
        </w:rPr>
        <w:t>is</w:t>
      </w:r>
      <w:r w:rsidR="00A90078" w:rsidRPr="0049617F">
        <w:rPr>
          <w:lang w:val="en-US"/>
        </w:rPr>
        <w:t xml:space="preserve"> driven by </w:t>
      </w:r>
      <w:r w:rsidR="00183513" w:rsidRPr="0049617F">
        <w:rPr>
          <w:lang w:val="en-US"/>
        </w:rPr>
        <w:t>the</w:t>
      </w:r>
      <w:r w:rsidR="00A343B2" w:rsidRPr="0049617F">
        <w:rPr>
          <w:lang w:val="en-US"/>
        </w:rPr>
        <w:t xml:space="preserve"> </w:t>
      </w:r>
      <w:r w:rsidR="00436683" w:rsidRPr="0049617F">
        <w:rPr>
          <w:lang w:val="en-US"/>
        </w:rPr>
        <w:t>change</w:t>
      </w:r>
      <w:r w:rsidR="000D2D46" w:rsidRPr="0049617F">
        <w:rPr>
          <w:lang w:val="en-US"/>
        </w:rPr>
        <w:t xml:space="preserve"> in</w:t>
      </w:r>
      <w:r w:rsidR="00D44591" w:rsidRPr="0049617F">
        <w:rPr>
          <w:lang w:val="en-US"/>
        </w:rPr>
        <w:t xml:space="preserve"> perceptions of </w:t>
      </w:r>
      <w:r w:rsidR="0049617F">
        <w:rPr>
          <w:lang w:val="en-US"/>
        </w:rPr>
        <w:t xml:space="preserve">the organization’s </w:t>
      </w:r>
      <w:r w:rsidR="003E5B78" w:rsidRPr="0049617F">
        <w:rPr>
          <w:lang w:val="en-US"/>
        </w:rPr>
        <w:t>need for help</w:t>
      </w:r>
      <w:r w:rsidR="00403013" w:rsidRPr="0049617F">
        <w:rPr>
          <w:lang w:val="en-US"/>
        </w:rPr>
        <w:t xml:space="preserve">; donors want to give to charities that need more </w:t>
      </w:r>
      <w:r w:rsidR="002D5312" w:rsidRPr="0049617F">
        <w:rPr>
          <w:lang w:val="en-US"/>
        </w:rPr>
        <w:t>assistance to meet their goals</w:t>
      </w:r>
      <w:r w:rsidR="00183513" w:rsidRPr="0049617F">
        <w:rPr>
          <w:lang w:val="en-US"/>
        </w:rPr>
        <w:t>.</w:t>
      </w:r>
      <w:r w:rsidR="00A90078" w:rsidRPr="0049617F">
        <w:rPr>
          <w:lang w:val="en-US"/>
        </w:rPr>
        <w:t xml:space="preserve"> </w:t>
      </w:r>
      <w:r w:rsidR="00E21E3E" w:rsidRPr="0049617F">
        <w:rPr>
          <w:lang w:val="en-US"/>
        </w:rPr>
        <w:t>In this case, jointly evaluating</w:t>
      </w:r>
      <w:r w:rsidR="00E21E3E" w:rsidRPr="00D16B79">
        <w:rPr>
          <w:lang w:val="en-US"/>
        </w:rPr>
        <w:t xml:space="preserve"> two </w:t>
      </w:r>
      <w:r w:rsidR="00E21E3E" w:rsidRPr="00AB17AB">
        <w:rPr>
          <w:lang w:val="en-US"/>
        </w:rPr>
        <w:t>charities makes</w:t>
      </w:r>
      <w:r w:rsidR="002911A6" w:rsidRPr="00AB17AB">
        <w:rPr>
          <w:lang w:val="en-US"/>
        </w:rPr>
        <w:t xml:space="preserve"> </w:t>
      </w:r>
      <w:r w:rsidR="004132FD">
        <w:rPr>
          <w:lang w:val="en-US"/>
        </w:rPr>
        <w:t>relative</w:t>
      </w:r>
      <w:r w:rsidR="003E5B78" w:rsidRPr="00AB17AB">
        <w:rPr>
          <w:lang w:val="en-US"/>
        </w:rPr>
        <w:t xml:space="preserve"> </w:t>
      </w:r>
      <w:r w:rsidR="007547AC" w:rsidRPr="00AB17AB">
        <w:rPr>
          <w:lang w:val="en-US"/>
        </w:rPr>
        <w:t>need</w:t>
      </w:r>
      <w:r w:rsidR="00E77745" w:rsidRPr="00AB17AB">
        <w:rPr>
          <w:lang w:val="en-US"/>
        </w:rPr>
        <w:t xml:space="preserve"> </w:t>
      </w:r>
      <w:r w:rsidR="00160818" w:rsidRPr="00AB17AB">
        <w:rPr>
          <w:lang w:val="en-US"/>
        </w:rPr>
        <w:t>for help</w:t>
      </w:r>
      <w:r w:rsidR="003E5B78" w:rsidRPr="00AB17AB">
        <w:rPr>
          <w:lang w:val="en-US"/>
        </w:rPr>
        <w:t xml:space="preserve"> </w:t>
      </w:r>
      <w:r w:rsidR="002D5312">
        <w:rPr>
          <w:lang w:val="en-US"/>
        </w:rPr>
        <w:t xml:space="preserve">more salient and </w:t>
      </w:r>
      <w:r w:rsidR="00DF43DB">
        <w:rPr>
          <w:lang w:val="en-US"/>
        </w:rPr>
        <w:t>easier to evaluate</w:t>
      </w:r>
      <w:r w:rsidR="003E5B78" w:rsidRPr="00AB17AB">
        <w:rPr>
          <w:lang w:val="en-US"/>
        </w:rPr>
        <w:t>, leading</w:t>
      </w:r>
      <w:r w:rsidR="003E5B78">
        <w:rPr>
          <w:lang w:val="en-US"/>
        </w:rPr>
        <w:t xml:space="preserve"> consumers to donate based on need</w:t>
      </w:r>
      <w:r w:rsidR="00051514">
        <w:rPr>
          <w:lang w:val="en-US"/>
        </w:rPr>
        <w:t xml:space="preserve"> for help</w:t>
      </w:r>
      <w:r w:rsidR="003E5B78">
        <w:rPr>
          <w:lang w:val="en-US"/>
        </w:rPr>
        <w:t xml:space="preserve">. </w:t>
      </w:r>
      <w:r w:rsidR="00E21E3E" w:rsidRPr="00D16B79">
        <w:rPr>
          <w:lang w:val="en-US"/>
        </w:rPr>
        <w:t xml:space="preserve">However, it is notable that the prediction that low goal progress will lead to increased donations </w:t>
      </w:r>
      <w:r w:rsidR="002911A6" w:rsidRPr="00D16B79">
        <w:rPr>
          <w:lang w:val="en-US"/>
        </w:rPr>
        <w:t xml:space="preserve">is counter to what some </w:t>
      </w:r>
      <w:r w:rsidR="0036594E" w:rsidRPr="00D16B79">
        <w:rPr>
          <w:lang w:val="en-US"/>
        </w:rPr>
        <w:t>previous literature would suggest</w:t>
      </w:r>
      <w:r w:rsidR="00E21E3E" w:rsidRPr="00D16B79">
        <w:rPr>
          <w:lang w:val="en-US"/>
        </w:rPr>
        <w:t xml:space="preserve">. Next, </w:t>
      </w:r>
      <w:r w:rsidR="00776B52" w:rsidRPr="00D16B79">
        <w:rPr>
          <w:lang w:val="en-US"/>
        </w:rPr>
        <w:t xml:space="preserve">we </w:t>
      </w:r>
      <w:r w:rsidR="00E21E3E" w:rsidRPr="00D16B79">
        <w:rPr>
          <w:lang w:val="en-US"/>
        </w:rPr>
        <w:t xml:space="preserve">discuss competing predictions </w:t>
      </w:r>
      <w:r w:rsidR="00E77745" w:rsidRPr="00D16B79">
        <w:rPr>
          <w:lang w:val="en-US"/>
        </w:rPr>
        <w:t>about the</w:t>
      </w:r>
      <w:r w:rsidR="00E21E3E" w:rsidRPr="00D16B79">
        <w:rPr>
          <w:lang w:val="en-US"/>
        </w:rPr>
        <w:t xml:space="preserve"> effects </w:t>
      </w:r>
      <w:r w:rsidR="00E77745" w:rsidRPr="00D16B79">
        <w:rPr>
          <w:lang w:val="en-US"/>
        </w:rPr>
        <w:t xml:space="preserve">of </w:t>
      </w:r>
      <w:r w:rsidR="00E21E3E" w:rsidRPr="00D16B79">
        <w:rPr>
          <w:lang w:val="en-US"/>
        </w:rPr>
        <w:t>low goal progress on charitable giving</w:t>
      </w:r>
      <w:r w:rsidR="00E77745" w:rsidRPr="00D16B79">
        <w:rPr>
          <w:lang w:val="en-US"/>
        </w:rPr>
        <w:t>,</w:t>
      </w:r>
      <w:r w:rsidR="00E21E3E" w:rsidRPr="00D16B79">
        <w:rPr>
          <w:lang w:val="en-US"/>
        </w:rPr>
        <w:t xml:space="preserve"> and </w:t>
      </w:r>
      <w:r w:rsidR="00E77745" w:rsidRPr="00D16B79">
        <w:rPr>
          <w:lang w:val="en-US"/>
        </w:rPr>
        <w:t xml:space="preserve">we </w:t>
      </w:r>
      <w:r w:rsidR="00E21E3E" w:rsidRPr="00D16B79">
        <w:rPr>
          <w:lang w:val="en-US"/>
        </w:rPr>
        <w:t xml:space="preserve">outline the conditions under which low goal progress will have positive </w:t>
      </w:r>
      <w:r w:rsidR="00E77745" w:rsidRPr="00D16B79">
        <w:rPr>
          <w:lang w:val="en-US"/>
        </w:rPr>
        <w:t xml:space="preserve">effects </w:t>
      </w:r>
      <w:r w:rsidR="00E21E3E" w:rsidRPr="00D16B79">
        <w:rPr>
          <w:lang w:val="en-US"/>
        </w:rPr>
        <w:t>on donations</w:t>
      </w:r>
      <w:r w:rsidR="00983F71" w:rsidRPr="00D16B79">
        <w:rPr>
          <w:lang w:val="en-US"/>
        </w:rPr>
        <w:t>.</w:t>
      </w:r>
    </w:p>
    <w:p w14:paraId="6D243A3C" w14:textId="619B387A" w:rsidR="00F447CE" w:rsidRPr="00D16B79" w:rsidRDefault="00011A8A" w:rsidP="00F55739">
      <w:pPr>
        <w:pStyle w:val="Heading2"/>
      </w:pPr>
      <w:r w:rsidRPr="00D16B79">
        <w:t xml:space="preserve">Goal </w:t>
      </w:r>
      <w:r w:rsidR="001309FF">
        <w:t>Pursuit at Different</w:t>
      </w:r>
      <w:r w:rsidR="001309FF" w:rsidRPr="001309FF">
        <w:t xml:space="preserve"> Distance</w:t>
      </w:r>
      <w:r w:rsidR="001309FF">
        <w:t>s</w:t>
      </w:r>
      <w:r w:rsidR="001309FF" w:rsidRPr="001309FF">
        <w:t xml:space="preserve"> from </w:t>
      </w:r>
      <w:r w:rsidR="00051514">
        <w:t xml:space="preserve">the </w:t>
      </w:r>
      <w:r w:rsidR="001309FF" w:rsidRPr="001309FF">
        <w:t>Goal</w:t>
      </w:r>
      <w:r w:rsidR="001309FF">
        <w:t xml:space="preserve"> </w:t>
      </w:r>
      <w:r w:rsidR="004A6AFB" w:rsidRPr="00D16B79">
        <w:t xml:space="preserve"> </w:t>
      </w:r>
    </w:p>
    <w:p w14:paraId="44F3D574" w14:textId="4DAD44A7" w:rsidR="003D7C91" w:rsidRPr="00D16B79" w:rsidRDefault="000D6F10" w:rsidP="003B26C6">
      <w:pPr>
        <w:spacing w:line="480" w:lineRule="auto"/>
        <w:ind w:firstLine="720"/>
        <w:rPr>
          <w:lang w:val="en-US"/>
        </w:rPr>
      </w:pPr>
      <w:r w:rsidRPr="00D16B79">
        <w:rPr>
          <w:lang w:val="en-US"/>
        </w:rPr>
        <w:t xml:space="preserve">Research </w:t>
      </w:r>
      <w:r w:rsidR="00A27C22" w:rsidRPr="00D16B79">
        <w:rPr>
          <w:lang w:val="en-US"/>
        </w:rPr>
        <w:t>o</w:t>
      </w:r>
      <w:r w:rsidR="007C76D5" w:rsidRPr="00D16B79">
        <w:rPr>
          <w:lang w:val="en-US"/>
        </w:rPr>
        <w:t>n the</w:t>
      </w:r>
      <w:r w:rsidR="006512EB" w:rsidRPr="00D16B79">
        <w:rPr>
          <w:lang w:val="en-US"/>
        </w:rPr>
        <w:t xml:space="preserve"> goal gradient </w:t>
      </w:r>
      <w:r w:rsidR="00795B19" w:rsidRPr="00D16B79">
        <w:rPr>
          <w:lang w:val="en-US"/>
        </w:rPr>
        <w:t xml:space="preserve">effect </w:t>
      </w:r>
      <w:r w:rsidRPr="00D16B79">
        <w:rPr>
          <w:lang w:val="en-US"/>
        </w:rPr>
        <w:t>suggest</w:t>
      </w:r>
      <w:r w:rsidR="003F62CA" w:rsidRPr="00D16B79">
        <w:rPr>
          <w:lang w:val="en-US"/>
        </w:rPr>
        <w:t>s</w:t>
      </w:r>
      <w:r w:rsidRPr="00D16B79">
        <w:rPr>
          <w:lang w:val="en-US"/>
        </w:rPr>
        <w:t xml:space="preserve"> that </w:t>
      </w:r>
      <w:r w:rsidR="00F30C10">
        <w:rPr>
          <w:lang w:val="en-US"/>
        </w:rPr>
        <w:t>consumers will exhibit</w:t>
      </w:r>
      <w:r w:rsidRPr="00D16B79">
        <w:rPr>
          <w:lang w:val="en-US"/>
        </w:rPr>
        <w:t xml:space="preserve"> </w:t>
      </w:r>
      <w:r w:rsidR="007C76D5" w:rsidRPr="00D16B79">
        <w:rPr>
          <w:lang w:val="en-US"/>
        </w:rPr>
        <w:t xml:space="preserve">greater donations to </w:t>
      </w:r>
      <w:r w:rsidR="00F17092" w:rsidRPr="00D16B79">
        <w:rPr>
          <w:lang w:val="en-US"/>
        </w:rPr>
        <w:t>an</w:t>
      </w:r>
      <w:r w:rsidR="007C76D5" w:rsidRPr="00D16B79">
        <w:rPr>
          <w:lang w:val="en-US"/>
        </w:rPr>
        <w:t xml:space="preserve"> organization </w:t>
      </w:r>
      <w:r w:rsidR="007C76D5" w:rsidRPr="00D16B79">
        <w:rPr>
          <w:i/>
          <w:iCs/>
          <w:lang w:val="en-US"/>
        </w:rPr>
        <w:t>close</w:t>
      </w:r>
      <w:r w:rsidR="006512EB" w:rsidRPr="00D16B79">
        <w:rPr>
          <w:i/>
          <w:iCs/>
          <w:lang w:val="en-US"/>
        </w:rPr>
        <w:t>r</w:t>
      </w:r>
      <w:r w:rsidR="007C76D5" w:rsidRPr="00D16B79">
        <w:rPr>
          <w:lang w:val="en-US"/>
        </w:rPr>
        <w:t xml:space="preserve"> to</w:t>
      </w:r>
      <w:r w:rsidRPr="00D16B79">
        <w:rPr>
          <w:lang w:val="en-US"/>
        </w:rPr>
        <w:t xml:space="preserve"> (vs. farther from)</w:t>
      </w:r>
      <w:r w:rsidR="007C76D5" w:rsidRPr="00D16B79">
        <w:rPr>
          <w:lang w:val="en-US"/>
        </w:rPr>
        <w:t xml:space="preserve"> reaching its goal</w:t>
      </w:r>
      <w:r w:rsidR="00F67DF1" w:rsidRPr="00D16B79">
        <w:rPr>
          <w:lang w:val="en-US"/>
        </w:rPr>
        <w:t xml:space="preserve">. </w:t>
      </w:r>
      <w:r w:rsidR="00A7363C" w:rsidRPr="00D16B79">
        <w:rPr>
          <w:lang w:val="en-US"/>
        </w:rPr>
        <w:t>Specifically</w:t>
      </w:r>
      <w:r w:rsidR="002911A6" w:rsidRPr="00D16B79">
        <w:rPr>
          <w:lang w:val="en-US"/>
        </w:rPr>
        <w:t xml:space="preserve">, </w:t>
      </w:r>
      <w:r w:rsidR="00795B19" w:rsidRPr="00D16B79">
        <w:rPr>
          <w:lang w:val="en-US"/>
        </w:rPr>
        <w:t xml:space="preserve">this </w:t>
      </w:r>
      <w:r w:rsidRPr="00D16B79">
        <w:rPr>
          <w:lang w:val="en-US"/>
        </w:rPr>
        <w:t>work</w:t>
      </w:r>
      <w:r w:rsidR="00795B19" w:rsidRPr="00D16B79">
        <w:rPr>
          <w:lang w:val="en-US"/>
        </w:rPr>
        <w:t xml:space="preserve"> predicts that the</w:t>
      </w:r>
      <w:r w:rsidR="007C76D5" w:rsidRPr="00D16B79">
        <w:rPr>
          <w:lang w:val="en-US"/>
        </w:rPr>
        <w:t xml:space="preserve"> “tendency to approach a goal increases with proximity to the goal” </w:t>
      </w:r>
      <w:r w:rsidR="00264EFA" w:rsidRPr="00D16B79">
        <w:rPr>
          <w:lang w:val="en-US"/>
        </w:rPr>
        <w:fldChar w:fldCharType="begin"/>
      </w:r>
      <w:r w:rsidR="00181321">
        <w:rPr>
          <w:lang w:val="en-US"/>
        </w:rPr>
        <w:instrText xml:space="preserve"> ADDIN ZOTERO_ITEM CSL_CITATION {"citationID":"1rydUP8d","properties":{"formattedCitation":"(Kivetz, Urminsky, and Zheng 2006, p. 39)","plainCitation":"(Kivetz, Urminsky, and Zheng 2006, p. 39)","noteIndex":0},"citationItems":[{"id":2336,"uris":["http://zotero.org/users/4606674/items/CXXY285Z"],"itemData":{"id":2336,"type":"article-journal","abstract":"The goal-gradient hypothesis denotes the classic finding from behaviorism that animals expend more effort as they approach a reward. Building on this hypothesis, the authors generate new propositions for the human psychology of rewards. They test these propositions using field experiments, secondary customer data, paper-and-pencil problems, and Tobit and logit models. The key findings indicate that (1) participants in a real café reward program purchase coffee more frequently the closer they are to earning a free coffee; (2) Internet users who rate songs in return for reward certificates visit the rating Web site more often, rate more songs per visit, and persist longer in the rating effort as they approach the reward goal; (3) the illusion of progress toward the goal induces purchase acceleration (e.g., customers who receive a 12-stamp coffee card with 2 preexisting “bonus” stamps complete the 10 required purchases faster than customers who receive a “regular” 10-stamp card); and (4) a stronger tendency to accelerate toward the goal predicts greater retention and faster reengagement in the program. The conceptualization and empirical findings are captured by a parsimonious goal-distance model, in which effort investment is a function of the proportion of original distance remaining to the goal. In addition, using statistical and experimental controls, the authors rule out alternative explanations for the observed goal gradients. They discuss the theoretical significance of their findings and the managerial implications for incentive systems, promotions, and customer retention.","container-title":"Journal of Marketing Research","DOI":"10.1509/jmkr.43.1.39","ISSN":"0022-2437","issue":"1","journalAbbreviation":"Journal of Marketing Research","language":"en","page":"39-58","source":"SAGE Journals","title":"The Goal-Gradient Hypothesis Resurrected: Purchase Acceleration, Illusionary Goal Progress, and Customer Retention","title-short":"The Goal-Gradient Hypothesis Resurrected","volume":"43","author":[{"family":"Kivetz","given":"Ran"},{"family":"Urminsky","given":"Oleg"},{"family":"Zheng","given":"Yuhuang"}],"issued":{"date-parts":[["2006",2,1]]}},"locator":"39"}],"schema":"https://github.com/citation-style-language/schema/raw/master/csl-citation.json"} </w:instrText>
      </w:r>
      <w:r w:rsidR="00264EFA" w:rsidRPr="00D16B79">
        <w:rPr>
          <w:lang w:val="en-US"/>
        </w:rPr>
        <w:fldChar w:fldCharType="separate"/>
      </w:r>
      <w:r w:rsidR="00FA5441" w:rsidRPr="00D16B79">
        <w:rPr>
          <w:rFonts w:ascii="Times New Roman" w:hAnsi="Times New Roman"/>
          <w:lang w:val="en-US"/>
        </w:rPr>
        <w:t>(Kivetz, Urminsky, and Zheng 2006, p. 39)</w:t>
      </w:r>
      <w:r w:rsidR="00264EFA" w:rsidRPr="00D16B79">
        <w:rPr>
          <w:lang w:val="en-US"/>
        </w:rPr>
        <w:fldChar w:fldCharType="end"/>
      </w:r>
      <w:r w:rsidR="00AE557D" w:rsidRPr="00D16B79">
        <w:rPr>
          <w:lang w:val="en-US"/>
        </w:rPr>
        <w:t xml:space="preserve"> and </w:t>
      </w:r>
      <w:r w:rsidR="007C76D5" w:rsidRPr="00D16B79">
        <w:rPr>
          <w:lang w:val="en-US"/>
        </w:rPr>
        <w:t xml:space="preserve">has been </w:t>
      </w:r>
      <w:r w:rsidR="00AE557D" w:rsidRPr="00D16B79">
        <w:rPr>
          <w:lang w:val="en-US"/>
        </w:rPr>
        <w:t>found</w:t>
      </w:r>
      <w:r w:rsidR="007C76D5" w:rsidRPr="00D16B79">
        <w:rPr>
          <w:lang w:val="en-US"/>
        </w:rPr>
        <w:t xml:space="preserve"> in a variety of behavioral, consumption</w:t>
      </w:r>
      <w:r w:rsidR="00F67DF1" w:rsidRPr="00D16B79">
        <w:rPr>
          <w:lang w:val="en-US"/>
        </w:rPr>
        <w:t>,</w:t>
      </w:r>
      <w:r w:rsidR="007C76D5" w:rsidRPr="00D16B79">
        <w:rPr>
          <w:lang w:val="en-US"/>
        </w:rPr>
        <w:t xml:space="preserve"> </w:t>
      </w:r>
      <w:r w:rsidR="007C76D5" w:rsidRPr="00D16B79">
        <w:rPr>
          <w:lang w:val="en-US"/>
        </w:rPr>
        <w:lastRenderedPageBreak/>
        <w:t xml:space="preserve">and marketing contexts </w:t>
      </w:r>
      <w:r w:rsidR="00264EFA" w:rsidRPr="00D16B79">
        <w:rPr>
          <w:lang w:val="en-US"/>
        </w:rPr>
        <w:fldChar w:fldCharType="begin"/>
      </w:r>
      <w:r w:rsidR="00181321">
        <w:rPr>
          <w:lang w:val="en-US"/>
        </w:rPr>
        <w:instrText xml:space="preserve"> ADDIN ZOTERO_ITEM CSL_CITATION {"citationID":"fdTOnzIM","properties":{"formattedCitation":"(Cryder, Loewenstein, and Seltman 2013; Kivetz, Urminsky, and Zheng 2006)","plainCitation":"(Cryder, Loewenstein, and Seltman 2013; Kivetz, Urminsky, and Zheng 2006)","noteIndex":0},"citationItems":[{"id":2335,"uris":["http://zotero.org/users/4606674/items/KQ6ICYYK"],"itemData":{"id":2335,"type":"article-journal","abstract":"People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E."},{"family":"Loewenstein","given":"George"},{"family":"Seltman","given":"Howard"}],"issued":{"date-parts":[["2013",11,1]]}},"label":"page"},{"id":2336,"uris":["http://zotero.org/users/4606674/items/CXXY285Z"],"itemData":{"id":2336,"type":"article-journal","abstract":"The goal-gradient hypothesis denotes the classic finding from behaviorism that animals expend more effort as they approach a reward. Building on this hypothesis, the authors generate new propositions for the human psychology of rewards. They test these propositions using field experiments, secondary customer data, paper-and-pencil problems, and Tobit and logit models. The key findings indicate that (1) participants in a real café reward program purchase coffee more frequently the closer they are to earning a free coffee; (2) Internet users who rate songs in return for reward certificates visit the rating Web site more often, rate more songs per visit, and persist longer in the rating effort as they approach the reward goal; (3) the illusion of progress toward the goal induces purchase acceleration (e.g., customers who receive a 12-stamp coffee card with 2 preexisting “bonus” stamps complete the 10 required purchases faster than customers who receive a “regular” 10-stamp card); and (4) a stronger tendency to accelerate toward the goal predicts greater retention and faster reengagement in the program. The conceptualization and empirical findings are captured by a parsimonious goal-distance model, in which effort investment is a function of the proportion of original distance remaining to the goal. In addition, using statistical and experimental controls, the authors rule out alternative explanations for the observed goal gradients. They discuss the theoretical significance of their findings and the managerial implications for incentive systems, promotions, and customer retention.","container-title":"Journal of Marketing Research","DOI":"10.1509/jmkr.43.1.39","ISSN":"0022-2437","issue":"1","journalAbbreviation":"Journal of Marketing Research","language":"en","page":"39-58","source":"SAGE Journals","title":"The Goal-Gradient Hypothesis Resurrected: Purchase Acceleration, Illusionary Goal Progress, and Customer Retention","title-short":"The Goal-Gradient Hypothesis Resurrected","volume":"43","author":[{"family":"Kivetz","given":"Ran"},{"family":"Urminsky","given":"Oleg"},{"family":"Zheng","given":"Yuhuang"}],"issued":{"date-parts":[["2006",2,1]]}}}],"schema":"https://github.com/citation-style-language/schema/raw/master/csl-citation.json"} </w:instrText>
      </w:r>
      <w:r w:rsidR="00264EFA" w:rsidRPr="00D16B79">
        <w:rPr>
          <w:lang w:val="en-US"/>
        </w:rPr>
        <w:fldChar w:fldCharType="separate"/>
      </w:r>
      <w:r w:rsidR="00936E87" w:rsidRPr="00D16B79">
        <w:rPr>
          <w:rFonts w:ascii="Times New Roman" w:hAnsi="Times New Roman"/>
          <w:lang w:val="en-US"/>
        </w:rPr>
        <w:t>(Cryder, Loewenstein, and Seltman 2013; Kivetz, Urminsky, and Zheng 2006)</w:t>
      </w:r>
      <w:r w:rsidR="00264EFA" w:rsidRPr="00D16B79">
        <w:rPr>
          <w:lang w:val="en-US"/>
        </w:rPr>
        <w:fldChar w:fldCharType="end"/>
      </w:r>
      <w:r w:rsidR="007C76D5" w:rsidRPr="00D16B79">
        <w:rPr>
          <w:lang w:val="en-US"/>
        </w:rPr>
        <w:t xml:space="preserve">. </w:t>
      </w:r>
      <w:r w:rsidR="00795B19" w:rsidRPr="00D16B79">
        <w:rPr>
          <w:lang w:val="en-US"/>
        </w:rPr>
        <w:t>Relevant to</w:t>
      </w:r>
      <w:r w:rsidR="005A53B8" w:rsidRPr="00D16B79">
        <w:rPr>
          <w:lang w:val="en-US"/>
        </w:rPr>
        <w:t xml:space="preserve"> the present research</w:t>
      </w:r>
      <w:r w:rsidR="007C76D5" w:rsidRPr="00D16B79">
        <w:rPr>
          <w:lang w:val="en-US"/>
        </w:rPr>
        <w:t xml:space="preserve">, the goal gradient effect has been shown to extend beyond achieving one’s own goals to helping others reach their goals, </w:t>
      </w:r>
      <w:r w:rsidR="003F62CA" w:rsidRPr="00D16B79">
        <w:rPr>
          <w:lang w:val="en-US"/>
        </w:rPr>
        <w:t>in contexts such as</w:t>
      </w:r>
      <w:r w:rsidR="007C76D5" w:rsidRPr="00D16B79">
        <w:rPr>
          <w:lang w:val="en-US"/>
        </w:rPr>
        <w:t xml:space="preserve"> giving to crowdfunding projects</w:t>
      </w:r>
      <w:r w:rsidR="00264EFA" w:rsidRPr="00D16B79">
        <w:rPr>
          <w:lang w:val="en-US"/>
        </w:rPr>
        <w:t xml:space="preserve"> </w:t>
      </w:r>
      <w:r w:rsidR="00264EFA" w:rsidRPr="00D16B79">
        <w:rPr>
          <w:lang w:val="en-US"/>
        </w:rPr>
        <w:fldChar w:fldCharType="begin"/>
      </w:r>
      <w:r w:rsidR="00181321">
        <w:rPr>
          <w:lang w:val="en-US"/>
        </w:rPr>
        <w:instrText xml:space="preserve"> ADDIN ZOTERO_ITEM CSL_CITATION {"citationID":"MmTNrRK5","properties":{"formattedCitation":"(Dai and Zhang 2019; Kuppuswamy and Bayus 2018)","plainCitation":"(Dai and Zhang 2019; Kuppuswamy and Bayus 2018)","noteIndex":0},"citationItems":[{"id":2186,"uris":["http://zotero.org/users/4606674/items/CGXMPUKN"],"itemData":{"id":2186,"type":"article-journal","container-title":"Journal of Marketing Research","issue":"3","page":"498–517","source":"Google Scholar","title":"Prosocial Goal Pursuit in Crowdfunding: Evidence from Kickstarter","title-short":"Prosocial Goal Pursuit in Crowdfunding","volume":"56","author":[{"family":"Dai","given":"Hengchen"},{"family":"Zhang","given":"Dennis J."}],"issued":{"date-parts":[["2019"]]}}},{"id":526,"uris":["http://zotero.org/users/4606674/items/VE2K4R5T"],"itemData":{"id":526,"type":"chapter","abstract":"Entrepreneurs are turning to crowdfunding as a way to finance their creative ideas. Crowdfunding involves relatively small contributions of many consumer-investors over a fixed time period (generally a few weeks). The purpose of this chapter is to add to our empirical understanding of backer dynamics over the project-funding cycle. Publicly available data of two years on projects listed on Kickstarter are used to establish that the typical pattern of project support is U-shaped—in general, backers are more likely to contribute to a project in the first and last weeks as compared to the middle period of the funding cycle. We further establish that this U-shaped pattern of support is pervasive across projects, including both successfully and unsuccessfully funded projects, those with large and small goals, and projects in different categories. We then empirically explore the dynamics associated with several factors, including collective attention effects from platform-sorting options, the role of family and friends in supporting projects, the effects of social influence, and the role of project updates over the project-funding cycle.","container-title":"The Economics of Crowdfunding","publisher":"Palgrave Macmillan Cham","source":"Google Scholar","title":"Crowdfunding Creative Ideas: The Dynamics of Project Backers","title-short":"Crowdfunding Creative Ideas","URL":"https://link.springer.com/chapter/10.1007/978-3-319-66119-3_8","author":[{"family":"Kuppuswamy","given":"Venkat"},{"family":"Bayus","given":"Barry L."}],"editor":[{"family":"Cumming","given":"Douglas"},{"family":"Hornuf","given":"Lars"}],"accessed":{"date-parts":[["2017",4,5]]},"issued":{"date-parts":[["2018",1,30]]}}}],"schema":"https://github.com/citation-style-language/schema/raw/master/csl-citation.json"} </w:instrText>
      </w:r>
      <w:r w:rsidR="00264EFA" w:rsidRPr="00D16B79">
        <w:rPr>
          <w:lang w:val="en-US"/>
        </w:rPr>
        <w:fldChar w:fldCharType="separate"/>
      </w:r>
      <w:r w:rsidR="005E4F73" w:rsidRPr="00D16B79">
        <w:rPr>
          <w:rFonts w:ascii="Times New Roman" w:hAnsi="Times New Roman"/>
          <w:lang w:val="en-US"/>
        </w:rPr>
        <w:t>(Dai and Zhang 2019; Kuppuswamy and Bayus 2018)</w:t>
      </w:r>
      <w:r w:rsidR="00264EFA" w:rsidRPr="00D16B79">
        <w:rPr>
          <w:lang w:val="en-US"/>
        </w:rPr>
        <w:fldChar w:fldCharType="end"/>
      </w:r>
      <w:r w:rsidR="007C76D5" w:rsidRPr="00D16B79">
        <w:rPr>
          <w:lang w:val="en-US"/>
        </w:rPr>
        <w:t xml:space="preserve"> or donating to charity </w:t>
      </w:r>
      <w:r w:rsidR="00264EFA" w:rsidRPr="00D16B79">
        <w:rPr>
          <w:lang w:val="en-US"/>
        </w:rPr>
        <w:fldChar w:fldCharType="begin"/>
      </w:r>
      <w:r w:rsidR="00181321">
        <w:rPr>
          <w:lang w:val="en-US"/>
        </w:rPr>
        <w:instrText xml:space="preserve"> ADDIN ZOTERO_ITEM CSL_CITATION {"citationID":"imPfo0Hx","properties":{"formattedCitation":"(Cryder, Loewenstein, and Seltman 2013; Jensen, King, and Carcioppolo 2013)","plainCitation":"(Cryder, Loewenstein, and Seltman 2013; Jensen, King, and Carcioppolo 2013)","noteIndex":0},"citationItems":[{"id":2335,"uris":["http://zotero.org/users/4606674/items/KQ6ICYYK"],"itemData":{"id":2335,"type":"article-journal","abstract":"People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E."},{"family":"Loewenstein","given":"George"},{"family":"Seltman","given":"Howard"}],"issued":{"date-parts":[["2013",11,1]]}}},{"id":1901,"uris":["http://zotero.org/users/4606674/items/DJK2ZEGI"],"itemData":{"id":1901,"type":"article-journal","abstract":"Driving toward a goal (DTAG) is a compliance technique derived from observed persuasion practice (e.g., telethons) wherein the persuader utilizes a goal pitch (e.g., “Help us raise $500”) and progress toward a goal (e.g., a tote board) to encourage compliance. It was postulated that DTAG would be more effective than legitimizing a paltry contribution (LPC) at increasing compliance rate, size, and stability. In Study 1, a fundraising field experiment (N = 840 donations) found that LPC garnered significantly more donations and DTAG garnered significantly larger donations. In Study 2, a lab experiment (N = 992 participants) found that LPC garnered more donations at Time 1, DTAG garnered more donations over time (eventually matching LPC), and LPC yielded smaller donations over time.","container-title":"Journal of Applied Social Psychology","DOI":"10.1111/jasp.12152","ISSN":"1559-1816","issue":"9","language":"en","note":"_eprint: https://onlinelibrary.wiley.com/doi/pdf/10.1111/jasp.12152","page":"1881-1895","source":"Wiley Online Library","title":"Driving Toward a Goal and the Goal-Gradient Hypothesis: The Impact of Goal Proximity on Compliance Rate, Donation Size, and Fatigue","title-short":"Driving Toward a Goal and the Goal-Gradient Hypothesis","volume":"43","author":[{"family":"Jensen","given":"Jakob D."},{"family":"King","given":"Andy J."},{"family":"Carcioppolo","given":"Nick"}],"issued":{"date-parts":[["2013"]]}}}],"schema":"https://github.com/citation-style-language/schema/raw/master/csl-citation.json"} </w:instrText>
      </w:r>
      <w:r w:rsidR="00264EFA" w:rsidRPr="00D16B79">
        <w:rPr>
          <w:lang w:val="en-US"/>
        </w:rPr>
        <w:fldChar w:fldCharType="separate"/>
      </w:r>
      <w:r w:rsidR="00FA5441" w:rsidRPr="00D16B79">
        <w:rPr>
          <w:rFonts w:ascii="Times New Roman" w:hAnsi="Times New Roman"/>
          <w:lang w:val="en-US"/>
        </w:rPr>
        <w:t>(Cryder, Loewenstein, and Seltman 2013; Jensen, King, and Carcioppolo 2013)</w:t>
      </w:r>
      <w:r w:rsidR="00264EFA" w:rsidRPr="00D16B79">
        <w:rPr>
          <w:lang w:val="en-US"/>
        </w:rPr>
        <w:fldChar w:fldCharType="end"/>
      </w:r>
      <w:r w:rsidR="007C76D5" w:rsidRPr="00D16B79">
        <w:rPr>
          <w:lang w:val="en-US"/>
        </w:rPr>
        <w:t>.</w:t>
      </w:r>
      <w:r w:rsidR="00A27C22" w:rsidRPr="00D16B79">
        <w:rPr>
          <w:lang w:val="en-US"/>
        </w:rPr>
        <w:t xml:space="preserve"> </w:t>
      </w:r>
    </w:p>
    <w:p w14:paraId="16E115B1" w14:textId="3581E44F" w:rsidR="00CA092A" w:rsidRDefault="00C93CE8" w:rsidP="00CE38A4">
      <w:pPr>
        <w:spacing w:line="480" w:lineRule="auto"/>
        <w:ind w:firstLine="720"/>
        <w:rPr>
          <w:lang w:val="en-US"/>
        </w:rPr>
      </w:pPr>
      <w:r w:rsidRPr="00D16B79">
        <w:rPr>
          <w:lang w:val="en-US"/>
        </w:rPr>
        <w:t>In contrast to the goal gradient effect</w:t>
      </w:r>
      <w:r w:rsidR="009F3ACA" w:rsidRPr="00D16B79">
        <w:rPr>
          <w:lang w:val="en-US"/>
        </w:rPr>
        <w:t xml:space="preserve">, </w:t>
      </w:r>
      <w:r w:rsidR="00160818" w:rsidRPr="00D16B79">
        <w:rPr>
          <w:lang w:val="en-US"/>
        </w:rPr>
        <w:t xml:space="preserve">another line of </w:t>
      </w:r>
      <w:r w:rsidR="00F30C10">
        <w:rPr>
          <w:lang w:val="en-US"/>
        </w:rPr>
        <w:t>work</w:t>
      </w:r>
      <w:r w:rsidR="00F30C10" w:rsidRPr="00D16B79">
        <w:rPr>
          <w:lang w:val="en-US"/>
        </w:rPr>
        <w:t xml:space="preserve"> </w:t>
      </w:r>
      <w:r w:rsidR="00160818" w:rsidRPr="00D16B79">
        <w:rPr>
          <w:lang w:val="en-US"/>
        </w:rPr>
        <w:t>shows</w:t>
      </w:r>
      <w:r w:rsidR="005D306B" w:rsidRPr="00D16B79">
        <w:rPr>
          <w:lang w:val="en-US"/>
        </w:rPr>
        <w:t xml:space="preserve"> that</w:t>
      </w:r>
      <w:r w:rsidR="000405E8">
        <w:rPr>
          <w:lang w:val="en-US"/>
        </w:rPr>
        <w:t>, under certain conditions,</w:t>
      </w:r>
      <w:r w:rsidR="005D306B" w:rsidRPr="00D16B79">
        <w:rPr>
          <w:lang w:val="en-US"/>
        </w:rPr>
        <w:t xml:space="preserve"> </w:t>
      </w:r>
      <w:r w:rsidR="007F6B2E" w:rsidRPr="00D16B79">
        <w:rPr>
          <w:lang w:val="en-US"/>
        </w:rPr>
        <w:t xml:space="preserve">subsequent goal pursuit can </w:t>
      </w:r>
      <w:r w:rsidR="007F6B2E" w:rsidRPr="009175E1">
        <w:rPr>
          <w:i/>
          <w:iCs/>
          <w:lang w:val="en-US"/>
        </w:rPr>
        <w:t>de</w:t>
      </w:r>
      <w:r w:rsidR="007F6B2E" w:rsidRPr="00D16B79">
        <w:rPr>
          <w:lang w:val="en-US"/>
        </w:rPr>
        <w:t>celerate</w:t>
      </w:r>
      <w:r w:rsidR="005D306B" w:rsidRPr="00D16B79">
        <w:rPr>
          <w:lang w:val="en-US"/>
        </w:rPr>
        <w:t xml:space="preserve"> as one gets closer to achieving a goal. </w:t>
      </w:r>
      <w:r w:rsidR="00C21A7E">
        <w:rPr>
          <w:lang w:val="en-US"/>
        </w:rPr>
        <w:t xml:space="preserve">The effect of higher progress on goal pursuit can depend on the inferences consumers make; when they infer sufficient progress has been made, they may decrease effort and future goal pursuit </w:t>
      </w:r>
      <w:r w:rsidR="00C21A7E" w:rsidRPr="00D16B79">
        <w:rPr>
          <w:lang w:val="en-US"/>
        </w:rPr>
        <w:fldChar w:fldCharType="begin"/>
      </w:r>
      <w:r w:rsidR="00C21A7E">
        <w:rPr>
          <w:lang w:val="en-US"/>
        </w:rPr>
        <w:instrText xml:space="preserve"> ADDIN ZOTERO_ITEM CSL_CITATION {"citationID":"1Zsziq9f","properties":{"formattedCitation":"(Fishbach, Henderson, and Koo 2011; Koo and Fishbach 2008, 2014)","plainCitation":"(Fishbach, Henderson, and Koo 2011; Koo and Fishbach 2008, 2014)","noteIndex":0},"citationItems":[{"id":14820,"uris":["http://zotero.org/users/4606674/items/66YHUSDR"],"itemData":{"id":14820,"type":"article-journal","abstract":"This article addresses what factors best motivate individuals to work toward shared goals. We propose that when individuals do not identify highly with a group, their contributions will mimic others': An emphasis on things done will increase their contributions toward achieving a goal, because such emphasis suggests the goal is worth pursuing. Conversely, we propose that when individuals identify highly with a group, their contributions will compensate for others': An emphasis on things left undone will increase their own contributions, because missing contributions suggest insufficient progress toward a goal they already consider worthwhile. Five studies lend support to these predictions by measuring contributions to goals centered on idea generation and helping victims of various global disasters (earthquake in Haiti, wildfires in Southern California, rioting in Kenya). (PsycINFO Database Record (c) 2016 APA, all rights reserved)","container-title":"Journal of Experimental Psychology: General","DOI":"10.1037/a0023907","ISSN":"1939-2222","issue":"3","note":"publisher-place: US\npublisher: American Psychological Association","page":"520-534","source":"APA PsycNet","title":"Pursuing goals with others: Group identification and motivation resulting from things done versus things left undone","title-short":"Pursuing goals with others","volume":"140","author":[{"family":"Fishbach","given":"Ayelet"},{"family":"Henderson","given":"Marlone D."},{"family":"Koo","given":"Minjung"}],"issued":{"date-parts":[["2011"]]}}},{"id":702,"uris":["http://zotero.org/users/4606674/items/7E3V7KIF"],"itemData":{"id":702,"type":"article-journal","container-title":"Journal of Personality and Social Psychology","DOI":"10.1037/0022-3514.94.2.183","ISSN":"1939-1315, 0022-3514","issue":"2","language":"en","page":"183-195","source":"CrossRef","title":"Dynamics of self-regulation: How (un)accomplished goal actions affect motivation.","title-short":"Dynamics of self-regulation","volume":"94","author":[{"family":"Koo","given":"Minjung"},{"family":"Fishbach","given":"Ayelet"}],"issued":{"date-parts":[["2008"]]}}},{"id":14833,"uris":["http://zotero.org/users/4606674/items/EQ7AKNP7"],"itemData":{"id":14833,"type":"article-journal","abstract":"Two factors increase the motivation to adhere to a goal: goal commitment and lack of goal progress. When people ask about commitment, focusing on what they have accomplished (to date) signals to them high commitment and increases motivation. Conversely, when commitment is certain and people ask about goal progress, focusing on what they have yet to accomplish (to go) signals to them lack of progress and increases motivation. Accordingly, 4 studies show that emphasizing to-date information increases goal adherence when commitment is uncertain-that is, when participants study for a relatively unimportant exam, consume luxuries, fulfill a desire, and make first-time contributions to a charity. Conversely, emphasizing to-go information increases goal adherence when commitment is certain-that is, when participants study for an important exam, consume necessities, fulfill a need, and make repeated contributions to a charity. (PsycINFO Database Record (c) 2016 APA, all rights reserved)","container-title":"Motivation Science","DOI":"10.1037/2333-8113.1.S.73","ISSN":"2333-8121","issue":"S","note":"publisher-place: US\npublisher: Educational Publishing Foundation","page":"73-90","source":"APA PsycNet","title":"Dynamics of self-regulation: How (un)accomplished goal actions affect motivation","title-short":"Dynamics of self-regulation","volume":"1","author":[{"family":"Koo","given":"Minjung"},{"family":"Fishbach","given":"Ayelet"}],"issued":{"date-parts":[["2014"]]}},"label":"page"}],"schema":"https://github.com/citation-style-language/schema/raw/master/csl-citation.json"} </w:instrText>
      </w:r>
      <w:r w:rsidR="00C21A7E" w:rsidRPr="00D16B79">
        <w:rPr>
          <w:lang w:val="en-US"/>
        </w:rPr>
        <w:fldChar w:fldCharType="separate"/>
      </w:r>
      <w:r w:rsidR="00C21A7E" w:rsidRPr="0089615F">
        <w:rPr>
          <w:rFonts w:ascii="Times New Roman" w:hAnsi="Times New Roman"/>
        </w:rPr>
        <w:t>(Fishbach, Henderson, and Koo 2011; Koo and Fishbach 2008, 2014)</w:t>
      </w:r>
      <w:r w:rsidR="00C21A7E" w:rsidRPr="00D16B79">
        <w:rPr>
          <w:lang w:val="en-US"/>
        </w:rPr>
        <w:fldChar w:fldCharType="end"/>
      </w:r>
      <w:r w:rsidR="00C21A7E" w:rsidRPr="00D16B79">
        <w:rPr>
          <w:lang w:val="en-US"/>
        </w:rPr>
        <w:t>.</w:t>
      </w:r>
      <w:r w:rsidR="00C21A7E">
        <w:rPr>
          <w:lang w:val="en-US"/>
        </w:rPr>
        <w:t xml:space="preserve"> </w:t>
      </w:r>
      <w:r w:rsidR="007F6B2E" w:rsidRPr="00D16B79">
        <w:rPr>
          <w:lang w:val="en-US"/>
        </w:rPr>
        <w:t xml:space="preserve">For </w:t>
      </w:r>
      <w:r w:rsidR="00724692" w:rsidRPr="00D16B79">
        <w:rPr>
          <w:lang w:val="en-US"/>
        </w:rPr>
        <w:t>instance</w:t>
      </w:r>
      <w:r w:rsidR="007F6B2E" w:rsidRPr="00D16B79">
        <w:rPr>
          <w:lang w:val="en-US"/>
        </w:rPr>
        <w:t>, w</w:t>
      </w:r>
      <w:r w:rsidR="005D306B" w:rsidRPr="00D16B79">
        <w:rPr>
          <w:lang w:val="en-US"/>
        </w:rPr>
        <w:t>hen consumers hold multiple conflicting goals (e.g., weight loss and eating high-calorie food)</w:t>
      </w:r>
      <w:r w:rsidR="005100F0" w:rsidRPr="00D16B79">
        <w:rPr>
          <w:lang w:val="en-US"/>
        </w:rPr>
        <w:t>,</w:t>
      </w:r>
      <w:r w:rsidR="005D306B" w:rsidRPr="00D16B79">
        <w:rPr>
          <w:lang w:val="en-US"/>
        </w:rPr>
        <w:t xml:space="preserve"> </w:t>
      </w:r>
      <w:r w:rsidR="0011267F" w:rsidRPr="00D16B79">
        <w:rPr>
          <w:lang w:val="en-US"/>
        </w:rPr>
        <w:t>higher perceived progress in one area can lead to a preference for goal</w:t>
      </w:r>
      <w:r w:rsidR="004D6A8B" w:rsidRPr="00D16B79">
        <w:rPr>
          <w:lang w:val="en-US"/>
        </w:rPr>
        <w:t>-</w:t>
      </w:r>
      <w:r w:rsidR="0011267F" w:rsidRPr="00D16B79">
        <w:rPr>
          <w:lang w:val="en-US"/>
        </w:rPr>
        <w:t xml:space="preserve">inconsistent </w:t>
      </w:r>
      <w:r w:rsidR="007F6B2E" w:rsidRPr="00D16B79">
        <w:rPr>
          <w:lang w:val="en-US"/>
        </w:rPr>
        <w:t xml:space="preserve">rather than </w:t>
      </w:r>
      <w:r w:rsidR="004D6A8B" w:rsidRPr="00D16B79">
        <w:rPr>
          <w:lang w:val="en-US"/>
        </w:rPr>
        <w:t>goal-</w:t>
      </w:r>
      <w:r w:rsidR="007F6B2E" w:rsidRPr="00D16B79">
        <w:rPr>
          <w:lang w:val="en-US"/>
        </w:rPr>
        <w:t xml:space="preserve">consistent </w:t>
      </w:r>
      <w:r w:rsidR="00F30C10">
        <w:rPr>
          <w:lang w:val="en-US"/>
        </w:rPr>
        <w:t>options</w:t>
      </w:r>
      <w:r w:rsidR="00F30C10" w:rsidRPr="00D16B79">
        <w:rPr>
          <w:lang w:val="en-US"/>
        </w:rPr>
        <w:t xml:space="preserve"> </w:t>
      </w:r>
      <w:r w:rsidR="007F6B2E" w:rsidRPr="00D16B79">
        <w:rPr>
          <w:lang w:val="en-US"/>
        </w:rPr>
        <w:fldChar w:fldCharType="begin"/>
      </w:r>
      <w:r w:rsidR="00181321">
        <w:rPr>
          <w:lang w:val="en-US"/>
        </w:rPr>
        <w:instrText xml:space="preserve"> ADDIN ZOTERO_ITEM CSL_CITATION {"citationID":"KY1TIsO5","properties":{"formattedCitation":"(Fishbach and Dhar 2005)","plainCitation":"(Fishbach and Dhar 2005)","noteIndex":0},"citationItems":[{"id":1126,"uris":["http://zotero.org/users/4606674/items/J2A8JX4E"],"itemData":{"id":1126,"type":"article-journal","abstract":"Consumer choices are often driven by multiple goals (e.g., career and family), each of which if viewed in isolation may appear to suggest conflicting choices. This article examines the effect of initial goal pursuit on consumers’ interest in pursuing unrelated or even conflicting goals. Four studies were conducted to test whether perceived goal progress hinders the pursuit of the focal goal. These studies demonstrate that in the course of self‐regulation progress along one goal liberates people to pursue inconsistent goals. Furthermore, merely planning to make goal progress in the future may facilitate incongruent choice of immediate action.","container-title":"Journal of Consumer Research","DOI":"10.1086/497548","ISSN":"0093-5301","issue":"3","journalAbbreviation":"Journal of Consumer Research","license":"Copyright © 2005 Journal of Consumer Research, Inc.","page":"370-377","source":"JSTOR","title":"Goals as Excuses or Guides: The Liberating Effect of Perceived Goal Progress on Choice","title-short":"Goals as Excuses or Guides","volume":"32","author":[{"family":"Fishbach","given":"Ayelet"},{"family":"Dhar","given":"Ravi"}],"issued":{"date-parts":[["2005",12,1]]}}}],"schema":"https://github.com/citation-style-language/schema/raw/master/csl-citation.json"} </w:instrText>
      </w:r>
      <w:r w:rsidR="007F6B2E" w:rsidRPr="00D16B79">
        <w:rPr>
          <w:lang w:val="en-US"/>
        </w:rPr>
        <w:fldChar w:fldCharType="separate"/>
      </w:r>
      <w:r w:rsidR="007F6B2E" w:rsidRPr="00D16B79">
        <w:rPr>
          <w:rFonts w:ascii="Times New Roman" w:hAnsi="Times New Roman"/>
          <w:lang w:val="en-US"/>
        </w:rPr>
        <w:t>(Fishbach and Dhar 2005)</w:t>
      </w:r>
      <w:r w:rsidR="007F6B2E" w:rsidRPr="00D16B79">
        <w:rPr>
          <w:lang w:val="en-US"/>
        </w:rPr>
        <w:fldChar w:fldCharType="end"/>
      </w:r>
      <w:r w:rsidR="004D6A8B" w:rsidRPr="00D16B79">
        <w:rPr>
          <w:lang w:val="en-US"/>
        </w:rPr>
        <w:t>,</w:t>
      </w:r>
      <w:r w:rsidR="007F6B2E" w:rsidRPr="00D16B79">
        <w:rPr>
          <w:lang w:val="en-US"/>
        </w:rPr>
        <w:t xml:space="preserve"> </w:t>
      </w:r>
      <w:r w:rsidR="0035192F" w:rsidRPr="00D16B79">
        <w:rPr>
          <w:lang w:val="en-US"/>
        </w:rPr>
        <w:t xml:space="preserve">and focusing on one goal may devalue </w:t>
      </w:r>
      <w:r w:rsidR="00052008">
        <w:rPr>
          <w:lang w:val="en-US"/>
        </w:rPr>
        <w:t>others</w:t>
      </w:r>
      <w:r w:rsidR="0035192F" w:rsidRPr="00D16B79">
        <w:rPr>
          <w:lang w:val="en-US"/>
        </w:rPr>
        <w:t xml:space="preserve"> </w:t>
      </w:r>
      <w:r w:rsidR="007F6B2E" w:rsidRPr="00D16B79">
        <w:rPr>
          <w:lang w:val="en-US"/>
        </w:rPr>
        <w:fldChar w:fldCharType="begin"/>
      </w:r>
      <w:r w:rsidR="00181321">
        <w:rPr>
          <w:lang w:val="en-US"/>
        </w:rPr>
        <w:instrText xml:space="preserve"> ADDIN ZOTERO_ITEM CSL_CITATION {"citationID":"riJVH6Eg","properties":{"formattedCitation":"(Brendl, Markman, and Messner 2003)","plainCitation":"(Brendl, Markman, and Messner 2003)","noteIndex":0},"citationItems":[{"id":1140,"uris":["http://zotero.org/users/4606674/items/V7XU6VBN"],"itemData":{"id":1140,"type":"article-journal","abstract":"It is commonly assumed that an object capable of satisfying a need will be perceived as subjectively more valuable as the need for it intensifies. For example, the more active the need to eat, the more valuable food will become. This outcome could be called a valuation effect. In this article, we suggest a second basic influence of needs on evaluations: that activating a focal need (e.g., to eat) makes objects unrelated to that need (e.g., shampoo) less valuable, an outcome we refer to as the devaluation effect. Two existing studies support the existence of a devaluation effect using manipulations of the need to eat and to smoke and measuring attractiveness of consumer products and willingness to purchase raffle tickets. Furthermore, the evidence suggests that consumers are not aware of the devaluation effect and its influence on their preferences.","container-title":"Journal of Consumer Research","DOI":"10.1086/346243","ISSN":"0093-5301","issue":"4","journalAbbreviation":"Journal of Consumer Research","license":"Copyright © 2003 Journal of Consumer Research, Inc.","page":"463-473","source":"JSTOR","title":"The Devaluation Effect: Activating a Need Devalues Unrelated Objects","title-short":"The Devaluation Effect","volume":"29","author":[{"family":"Brendl","given":"C. Miguel"},{"family":"Markman","given":"Arthur B."},{"family":"Messner","given":"Claude"}],"issued":{"date-parts":[["2003",3,1]]}}}],"schema":"https://github.com/citation-style-language/schema/raw/master/csl-citation.json"} </w:instrText>
      </w:r>
      <w:r w:rsidR="007F6B2E" w:rsidRPr="00D16B79">
        <w:rPr>
          <w:lang w:val="en-US"/>
        </w:rPr>
        <w:fldChar w:fldCharType="separate"/>
      </w:r>
      <w:r w:rsidR="007F6B2E" w:rsidRPr="00D16B79">
        <w:rPr>
          <w:rFonts w:ascii="Times New Roman" w:hAnsi="Times New Roman"/>
          <w:lang w:val="en-US"/>
        </w:rPr>
        <w:t>(Brendl, Markman, and Messner 2003)</w:t>
      </w:r>
      <w:r w:rsidR="007F6B2E" w:rsidRPr="00D16B79">
        <w:rPr>
          <w:lang w:val="en-US"/>
        </w:rPr>
        <w:fldChar w:fldCharType="end"/>
      </w:r>
      <w:r w:rsidR="0011267F" w:rsidRPr="00D16B79">
        <w:rPr>
          <w:lang w:val="en-US"/>
        </w:rPr>
        <w:t xml:space="preserve">. </w:t>
      </w:r>
      <w:bookmarkStart w:id="2" w:name="_Hlk132044952"/>
      <w:r w:rsidR="009236F1">
        <w:rPr>
          <w:lang w:val="en-US"/>
        </w:rPr>
        <w:t>At lower levels of progress, consumers are more concerned about whether the goal is attainable and put in more effort w</w:t>
      </w:r>
      <w:r w:rsidR="00255AA0">
        <w:rPr>
          <w:lang w:val="en-US"/>
        </w:rPr>
        <w:t>hen the velocity of progress is high</w:t>
      </w:r>
      <w:r w:rsidR="009236F1">
        <w:rPr>
          <w:lang w:val="en-US"/>
        </w:rPr>
        <w:t xml:space="preserve">, than at higher levels of progress </w:t>
      </w:r>
      <w:r w:rsidR="00CD36DB">
        <w:rPr>
          <w:lang w:val="en-US"/>
        </w:rPr>
        <w:fldChar w:fldCharType="begin"/>
      </w:r>
      <w:r w:rsidR="00CD36DB">
        <w:rPr>
          <w:lang w:val="en-US"/>
        </w:rPr>
        <w:instrText xml:space="preserve"> ADDIN ZOTERO_ITEM CSL_CITATION {"citationID":"EwinpqKK","properties":{"formattedCitation":"(Huang and Zhang 2011)","plainCitation":"(Huang and Zhang 2011)","noteIndex":0},"citationItems":[{"id":14876,"uris":["http://zotero.org/users/4606674/items/FWB3P7CS"],"itemData":{"id":14876,"type":"article-journal","abstract":"The authors explore the interplay between consumers’ progress levels toward attaining a goal and the perceived velocity in progressing toward the goal to determine consumers’ motivation for further goal pursuit. The authors propose that when progress toward attaining a goal is low, consumers are primarily concerned about the question “Can I get there?” Thus, a high (vs. low) perceived velocity in progressing suggests greater expectations of goal attainment, resulting in greater motivation for pursuing the goal. However, when consumers have achieved sufficient progress and are approaching the end point, their attainment of the goal is relatively secured, so they become more concerned about the question “When will I get there?” and focus more on whether they are effectively reducing the remaining discrepancy so that they can attain the goal quickly. In this case, a low (vs. high) perceived velocity in progressing elicits greater motivation because it suggests that continued effort is needed to ensure a speedy attainment. Empirical evidence from lab and field experiments supports this hypothesis.","container-title":"Journal of Marketing Research","DOI":"10.1509/jmr.10.0063","ISSN":"0022-2437","issue":"6","language":"en","note":"publisher: SAGE Publications Inc","page":"1045-1056","source":"SAGE Journals","title":"Motivational Consequences of Perceived Velocity in Consumer Goal Pursuit","volume":"48","author":[{"family":"Huang","given":"Szu-Chi"},{"family":"Zhang","given":"Ying"}],"issued":{"date-parts":[["2011",12,1]]}}}],"schema":"https://github.com/citation-style-language/schema/raw/master/csl-citation.json"} </w:instrText>
      </w:r>
      <w:r w:rsidR="00CD36DB">
        <w:rPr>
          <w:lang w:val="en-US"/>
        </w:rPr>
        <w:fldChar w:fldCharType="separate"/>
      </w:r>
      <w:r w:rsidR="00CD36DB" w:rsidRPr="00CD36DB">
        <w:rPr>
          <w:rFonts w:ascii="Times New Roman" w:hAnsi="Times New Roman"/>
        </w:rPr>
        <w:t>(Huang and Zhang 2011)</w:t>
      </w:r>
      <w:r w:rsidR="00CD36DB">
        <w:rPr>
          <w:lang w:val="en-US"/>
        </w:rPr>
        <w:fldChar w:fldCharType="end"/>
      </w:r>
      <w:r w:rsidR="00CD36DB">
        <w:rPr>
          <w:lang w:val="en-US"/>
        </w:rPr>
        <w:t xml:space="preserve">. </w:t>
      </w:r>
      <w:r w:rsidR="009236F1">
        <w:rPr>
          <w:lang w:val="en-US"/>
        </w:rPr>
        <w:t>Similarly, w</w:t>
      </w:r>
      <w:r w:rsidR="00160818" w:rsidRPr="00D16B79">
        <w:rPr>
          <w:lang w:val="en-US"/>
        </w:rPr>
        <w:t xml:space="preserve">hen consumers </w:t>
      </w:r>
      <w:r w:rsidR="0049617F" w:rsidRPr="00D16B79">
        <w:rPr>
          <w:lang w:val="en-US"/>
        </w:rPr>
        <w:t>are already committed to a goal</w:t>
      </w:r>
      <w:r w:rsidR="00160818" w:rsidRPr="00D16B79">
        <w:rPr>
          <w:lang w:val="en-US"/>
        </w:rPr>
        <w:t xml:space="preserve">, </w:t>
      </w:r>
      <w:r w:rsidR="009236F1">
        <w:rPr>
          <w:lang w:val="en-US"/>
        </w:rPr>
        <w:t>highlighting</w:t>
      </w:r>
      <w:r w:rsidR="00320B91">
        <w:rPr>
          <w:lang w:val="en-US"/>
        </w:rPr>
        <w:t xml:space="preserve"> </w:t>
      </w:r>
      <w:r w:rsidR="0049617F">
        <w:rPr>
          <w:lang w:val="en-US"/>
        </w:rPr>
        <w:t>remaining</w:t>
      </w:r>
      <w:r w:rsidR="00320B91">
        <w:rPr>
          <w:lang w:val="en-US"/>
        </w:rPr>
        <w:t xml:space="preserve"> </w:t>
      </w:r>
      <w:r w:rsidR="00160818" w:rsidRPr="00D16B79">
        <w:rPr>
          <w:lang w:val="en-US"/>
        </w:rPr>
        <w:t>progress</w:t>
      </w:r>
      <w:r w:rsidR="009236F1">
        <w:rPr>
          <w:lang w:val="en-US"/>
        </w:rPr>
        <w:t xml:space="preserve"> at lower levels of progress</w:t>
      </w:r>
      <w:r w:rsidR="001309FF">
        <w:rPr>
          <w:lang w:val="en-US"/>
        </w:rPr>
        <w:t xml:space="preserve"> </w:t>
      </w:r>
      <w:r w:rsidR="00ED46F1">
        <w:rPr>
          <w:lang w:val="en-US"/>
        </w:rPr>
        <w:t xml:space="preserve">can increase </w:t>
      </w:r>
      <w:r w:rsidR="00160818" w:rsidRPr="00D16B79">
        <w:rPr>
          <w:lang w:val="en-US"/>
        </w:rPr>
        <w:t>goal pursuit</w:t>
      </w:r>
      <w:r w:rsidR="007F6B2E" w:rsidRPr="00D16B79">
        <w:rPr>
          <w:lang w:val="en-US"/>
        </w:rPr>
        <w:t xml:space="preserve"> </w:t>
      </w:r>
      <w:r w:rsidR="007F6B2E" w:rsidRPr="00D16B79">
        <w:rPr>
          <w:lang w:val="en-US"/>
        </w:rPr>
        <w:fldChar w:fldCharType="begin"/>
      </w:r>
      <w:r w:rsidR="00181321">
        <w:rPr>
          <w:lang w:val="en-US"/>
        </w:rPr>
        <w:instrText xml:space="preserve"> ADDIN ZOTERO_ITEM CSL_CITATION {"citationID":"BULMtE0u","properties":{"formattedCitation":"(Koo and Fishbach 2012)","plainCitation":"(Koo and Fishbach 2012)","noteIndex":0},"citationItems":[{"id":2323,"uris":["http://zotero.org/users/4606674/items/U2NESV2V"],"itemData":{"id":2323,"type":"article-journal","container-title":"Journal of Consumer Research","issue":"3","note":"publisher: University of Chicago Press Chicago, IL","page":"493–509","source":"Google Scholar","title":"The Small-Area Hypothesis: Effects of Progress Monitoring on Goal Adherence","title-short":"The Small-Area Hypothesis","volume":"39","author":[{"family":"Koo","given":"Minjung"},{"family":"Fishbach","given":"Ayelet"}],"issued":{"date-parts":[["2012"]]}}}],"schema":"https://github.com/citation-style-language/schema/raw/master/csl-citation.json"} </w:instrText>
      </w:r>
      <w:r w:rsidR="007F6B2E" w:rsidRPr="00D16B79">
        <w:rPr>
          <w:lang w:val="en-US"/>
        </w:rPr>
        <w:fldChar w:fldCharType="separate"/>
      </w:r>
      <w:r w:rsidR="007F6B2E" w:rsidRPr="00D16B79">
        <w:rPr>
          <w:rFonts w:ascii="Times New Roman" w:hAnsi="Times New Roman"/>
          <w:lang w:val="en-US"/>
        </w:rPr>
        <w:t>(Koo and Fishbach 2012)</w:t>
      </w:r>
      <w:r w:rsidR="007F6B2E" w:rsidRPr="00D16B79">
        <w:rPr>
          <w:lang w:val="en-US"/>
        </w:rPr>
        <w:fldChar w:fldCharType="end"/>
      </w:r>
      <w:bookmarkEnd w:id="2"/>
      <w:r w:rsidR="007F6B2E" w:rsidRPr="00D16B79">
        <w:rPr>
          <w:lang w:val="en-US"/>
        </w:rPr>
        <w:t>.</w:t>
      </w:r>
      <w:r w:rsidR="001241CB" w:rsidRPr="00D16B79">
        <w:rPr>
          <w:lang w:val="en-US"/>
        </w:rPr>
        <w:t xml:space="preserve"> </w:t>
      </w:r>
      <w:r w:rsidR="009236F1">
        <w:rPr>
          <w:lang w:val="en-US"/>
        </w:rPr>
        <w:t xml:space="preserve">Taken together, this body of work </w:t>
      </w:r>
      <w:r w:rsidR="000405E8">
        <w:rPr>
          <w:lang w:val="en-US"/>
        </w:rPr>
        <w:t>predicts and finds the</w:t>
      </w:r>
      <w:r w:rsidR="009236F1">
        <w:rPr>
          <w:lang w:val="en-US"/>
        </w:rPr>
        <w:t xml:space="preserve"> opposite </w:t>
      </w:r>
      <w:r w:rsidR="000405E8">
        <w:rPr>
          <w:lang w:val="en-US"/>
        </w:rPr>
        <w:t xml:space="preserve">pattern of results from the </w:t>
      </w:r>
      <w:r w:rsidR="009236F1">
        <w:rPr>
          <w:lang w:val="en-US"/>
        </w:rPr>
        <w:t>goal-gradient effect.</w:t>
      </w:r>
    </w:p>
    <w:p w14:paraId="501B0737" w14:textId="77777777" w:rsidR="003E2E0F" w:rsidRPr="00D16B79" w:rsidRDefault="003E2E0F" w:rsidP="003E2E0F">
      <w:pPr>
        <w:pStyle w:val="Heading2"/>
      </w:pPr>
      <w:r w:rsidRPr="00D16B79">
        <w:t xml:space="preserve">Goal Progress </w:t>
      </w:r>
      <w:r>
        <w:t>and Evaluation Mode</w:t>
      </w:r>
    </w:p>
    <w:p w14:paraId="56ED9C6E" w14:textId="0DF1E1AB" w:rsidR="000E6228" w:rsidRPr="00D16B79" w:rsidRDefault="0042687C" w:rsidP="00FD0663">
      <w:pPr>
        <w:spacing w:line="480" w:lineRule="auto"/>
        <w:ind w:firstLine="720"/>
        <w:rPr>
          <w:lang w:val="en-US"/>
        </w:rPr>
      </w:pPr>
      <w:r w:rsidRPr="00D16B79">
        <w:rPr>
          <w:lang w:val="en-US"/>
        </w:rPr>
        <w:t>W</w:t>
      </w:r>
      <w:r w:rsidR="007C666F" w:rsidRPr="00D16B79">
        <w:rPr>
          <w:lang w:val="en-US"/>
        </w:rPr>
        <w:t xml:space="preserve">e </w:t>
      </w:r>
      <w:r w:rsidRPr="00D16B79">
        <w:rPr>
          <w:lang w:val="en-US"/>
        </w:rPr>
        <w:t xml:space="preserve">introduce a </w:t>
      </w:r>
      <w:r w:rsidR="007F6B2E" w:rsidRPr="00D16B79">
        <w:rPr>
          <w:lang w:val="en-US"/>
        </w:rPr>
        <w:t xml:space="preserve">novel </w:t>
      </w:r>
      <w:r w:rsidR="005A53B8" w:rsidRPr="00D16B79">
        <w:rPr>
          <w:lang w:val="en-US"/>
        </w:rPr>
        <w:t>factor</w:t>
      </w:r>
      <w:r w:rsidR="003F62CA" w:rsidRPr="00D16B79">
        <w:rPr>
          <w:lang w:val="en-US"/>
        </w:rPr>
        <w:t xml:space="preserve"> </w:t>
      </w:r>
      <w:r w:rsidR="005100F0" w:rsidRPr="00D16B79">
        <w:rPr>
          <w:lang w:val="en-US"/>
        </w:rPr>
        <w:t xml:space="preserve">that determines </w:t>
      </w:r>
      <w:r w:rsidR="005A53B8" w:rsidRPr="00D16B79">
        <w:rPr>
          <w:lang w:val="en-US"/>
        </w:rPr>
        <w:t>how</w:t>
      </w:r>
      <w:r w:rsidR="007F6B2E" w:rsidRPr="00D16B79">
        <w:rPr>
          <w:lang w:val="en-US"/>
        </w:rPr>
        <w:t xml:space="preserve"> consumers will </w:t>
      </w:r>
      <w:r w:rsidR="005A53B8" w:rsidRPr="00D16B79">
        <w:rPr>
          <w:lang w:val="en-US"/>
        </w:rPr>
        <w:t xml:space="preserve">respond to </w:t>
      </w:r>
      <w:r w:rsidR="007F6B2E" w:rsidRPr="00D16B79">
        <w:rPr>
          <w:lang w:val="en-US"/>
        </w:rPr>
        <w:t xml:space="preserve">a charity’s fundraising </w:t>
      </w:r>
      <w:r w:rsidR="005100F0" w:rsidRPr="00D16B79">
        <w:rPr>
          <w:lang w:val="en-US"/>
        </w:rPr>
        <w:t>progress</w:t>
      </w:r>
      <w:r w:rsidR="000D6F10" w:rsidRPr="00D16B79">
        <w:rPr>
          <w:lang w:val="en-US"/>
        </w:rPr>
        <w:t>—</w:t>
      </w:r>
      <w:r w:rsidR="002F6295" w:rsidRPr="00D16B79">
        <w:rPr>
          <w:lang w:val="en-US"/>
        </w:rPr>
        <w:t>e</w:t>
      </w:r>
      <w:r w:rsidRPr="00D16B79">
        <w:rPr>
          <w:lang w:val="en-US"/>
        </w:rPr>
        <w:t>valuation mode</w:t>
      </w:r>
      <w:r w:rsidR="007F6B2E" w:rsidRPr="00D16B79">
        <w:rPr>
          <w:lang w:val="en-US"/>
        </w:rPr>
        <w:t xml:space="preserve">. We </w:t>
      </w:r>
      <w:r w:rsidR="007C666F" w:rsidRPr="00D16B79">
        <w:rPr>
          <w:lang w:val="en-US"/>
        </w:rPr>
        <w:t>predict that</w:t>
      </w:r>
      <w:r w:rsidR="00244FE8" w:rsidRPr="00D16B79">
        <w:rPr>
          <w:lang w:val="en-US"/>
        </w:rPr>
        <w:t xml:space="preserve"> </w:t>
      </w:r>
      <w:r w:rsidR="009A108F" w:rsidRPr="00D16B79">
        <w:rPr>
          <w:lang w:val="en-US"/>
        </w:rPr>
        <w:t xml:space="preserve">when </w:t>
      </w:r>
      <w:r w:rsidR="00C93CE8" w:rsidRPr="00D16B79">
        <w:rPr>
          <w:lang w:val="en-US"/>
        </w:rPr>
        <w:t xml:space="preserve">charities are </w:t>
      </w:r>
      <w:r w:rsidR="00451A95" w:rsidRPr="00D16B79">
        <w:rPr>
          <w:lang w:val="en-US"/>
        </w:rPr>
        <w:t xml:space="preserve">considered </w:t>
      </w:r>
      <w:r w:rsidR="009A108F" w:rsidRPr="00D16B79">
        <w:rPr>
          <w:lang w:val="en-US"/>
        </w:rPr>
        <w:t>jointly</w:t>
      </w:r>
      <w:r w:rsidR="00D609A0" w:rsidRPr="00D16B79">
        <w:rPr>
          <w:lang w:val="en-US"/>
        </w:rPr>
        <w:t xml:space="preserve">, the </w:t>
      </w:r>
      <w:r w:rsidR="005100F0" w:rsidRPr="00D16B79">
        <w:rPr>
          <w:lang w:val="en-US"/>
        </w:rPr>
        <w:t xml:space="preserve">charity </w:t>
      </w:r>
      <w:r w:rsidR="00FF28B4" w:rsidRPr="00D16B79">
        <w:rPr>
          <w:lang w:val="en-US"/>
        </w:rPr>
        <w:t xml:space="preserve">farther from </w:t>
      </w:r>
      <w:r w:rsidR="00D609A0" w:rsidRPr="00D16B79">
        <w:rPr>
          <w:lang w:val="en-US"/>
        </w:rPr>
        <w:t xml:space="preserve">its goal will receive </w:t>
      </w:r>
      <w:r w:rsidR="00E52061" w:rsidRPr="00D16B79">
        <w:rPr>
          <w:lang w:val="en-US"/>
        </w:rPr>
        <w:t xml:space="preserve">relatively </w:t>
      </w:r>
      <w:r w:rsidR="00FF28B4" w:rsidRPr="00D16B79">
        <w:rPr>
          <w:lang w:val="en-US"/>
        </w:rPr>
        <w:t xml:space="preserve">higher </w:t>
      </w:r>
      <w:r w:rsidR="00D609A0" w:rsidRPr="00D16B79">
        <w:rPr>
          <w:lang w:val="en-US"/>
        </w:rPr>
        <w:t>donations</w:t>
      </w:r>
      <w:r w:rsidR="00937635" w:rsidRPr="00D16B79">
        <w:rPr>
          <w:lang w:val="en-US"/>
        </w:rPr>
        <w:t xml:space="preserve"> than the one </w:t>
      </w:r>
      <w:r w:rsidR="00FF28B4" w:rsidRPr="00D16B79">
        <w:rPr>
          <w:lang w:val="en-US"/>
        </w:rPr>
        <w:t>closer to</w:t>
      </w:r>
      <w:r w:rsidR="00937635" w:rsidRPr="00D16B79">
        <w:rPr>
          <w:lang w:val="en-US"/>
        </w:rPr>
        <w:t xml:space="preserve"> its </w:t>
      </w:r>
      <w:r w:rsidR="00937635" w:rsidRPr="00D16B79">
        <w:rPr>
          <w:lang w:val="en-US"/>
        </w:rPr>
        <w:lastRenderedPageBreak/>
        <w:t>goal</w:t>
      </w:r>
      <w:r w:rsidR="00D609A0" w:rsidRPr="00D16B79">
        <w:rPr>
          <w:lang w:val="en-US"/>
        </w:rPr>
        <w:t>.</w:t>
      </w:r>
      <w:r w:rsidR="00937635" w:rsidRPr="00D16B79">
        <w:rPr>
          <w:lang w:val="en-US"/>
        </w:rPr>
        <w:t xml:space="preserve"> </w:t>
      </w:r>
      <w:r w:rsidR="005100F0" w:rsidRPr="00D16B79">
        <w:rPr>
          <w:lang w:val="en-US"/>
        </w:rPr>
        <w:t xml:space="preserve">More broadly, joint </w:t>
      </w:r>
      <w:r w:rsidR="000E6228" w:rsidRPr="00D16B79">
        <w:rPr>
          <w:lang w:val="en-US"/>
        </w:rPr>
        <w:t xml:space="preserve">evaluation (where two </w:t>
      </w:r>
      <w:r w:rsidR="00D9701C" w:rsidRPr="00D16B79">
        <w:rPr>
          <w:lang w:val="en-US"/>
        </w:rPr>
        <w:t xml:space="preserve">or more </w:t>
      </w:r>
      <w:r w:rsidR="000E6228" w:rsidRPr="00D16B79">
        <w:rPr>
          <w:lang w:val="en-US"/>
        </w:rPr>
        <w:t xml:space="preserve">options are presented simultaneously) </w:t>
      </w:r>
      <w:r w:rsidR="007D7F1F" w:rsidRPr="00D16B79">
        <w:rPr>
          <w:lang w:val="en-US"/>
        </w:rPr>
        <w:t>versus</w:t>
      </w:r>
      <w:r w:rsidR="000E6228" w:rsidRPr="00D16B79">
        <w:rPr>
          <w:lang w:val="en-US"/>
        </w:rPr>
        <w:t xml:space="preserve"> separate evaluation (where each option is presented on its own)</w:t>
      </w:r>
      <w:r w:rsidR="00A17533" w:rsidRPr="00D16B79">
        <w:rPr>
          <w:lang w:val="en-US"/>
        </w:rPr>
        <w:t xml:space="preserve"> is one of the most widely discussed distinctions in evaluation modes </w:t>
      </w:r>
      <w:r w:rsidR="00A17533" w:rsidRPr="00D16B79">
        <w:rPr>
          <w:lang w:val="en-US"/>
        </w:rPr>
        <w:fldChar w:fldCharType="begin"/>
      </w:r>
      <w:r w:rsidR="00181321">
        <w:rPr>
          <w:lang w:val="en-US"/>
        </w:rPr>
        <w:instrText xml:space="preserve"> ADDIN ZOTERO_ITEM CSL_CITATION {"citationID":"Pi2CtOnG","properties":{"formattedCitation":"(Bazerman et al. 1999; Hsee 1996)","plainCitation":"(Bazerman et al. 1999; Hsee 1996)","noteIndex":0},"citationItems":[{"id":2047,"uris":["http://zotero.org/users/4606674/items/Y7G4RBYA"],"itemData":{"id":2047,"type":"article-journal","abstract":"This paper examines how preferences for outcomes change across joint versus separate evaluation of alternatives. In joint evaluation, two (or more) options are presented and evaluated simultaneously. In separate evaluation, each option is presented and evaluated separately. We review a growing body of evidence demonstrating this type of preference shift and discuss how it is different from existing biases and preference reversals documented in the literature. We then review and integrate three competing explanations for this type of preferential inconsistency.","container-title":"Journal of Economic Behavior &amp; Organization","DOI":"10.1016/S0167-2681(99)00025-6","ISSN":"0167-2681","issue":"1","journalAbbreviation":"Journal of Economic Behavior &amp; Organization","language":"en","page":"41-58","source":"ScienceDirect","title":"Explaining How Preferences Change Across Joint Versus Separate Evaluation","volume":"39","author":[{"family":"Bazerman","given":"Max H."},{"family":"Moore","given":"Don A."},{"family":"Tenbrunsel","given":"Ann E."},{"family":"Wade-Benzoni","given":"Kimberly A."},{"family":"Blount","given":"Sally"}],"issued":{"date-parts":[["1999",5,1]]}}},{"id":2092,"uris":["http://zotero.org/users/4606674/items/JM2BGTWU"],"itemData":{"id":2092,"type":"article-journal","container-title":"Organizational Behavior and Human Decision Processes","DOI":"10.1006/obhd.1996.0077","ISSN":"07495978","issue":"3","journalAbbreviation":"Organizational Behavior and Human Decision Processes","language":"en","page":"247-257","source":"DOI.org (Crossref)","title":"The Evaluability Hypothesis: An Explanation for Preference Reversals between Joint and Separate Evaluations of Alternatives","title-short":"The Evaluability Hypothesis","volume":"67","author":[{"family":"Hsee","given":"Christopher K."}],"issued":{"date-parts":[["1996",9]]}}}],"schema":"https://github.com/citation-style-language/schema/raw/master/csl-citation.json"} </w:instrText>
      </w:r>
      <w:r w:rsidR="00A17533" w:rsidRPr="00D16B79">
        <w:rPr>
          <w:lang w:val="en-US"/>
        </w:rPr>
        <w:fldChar w:fldCharType="separate"/>
      </w:r>
      <w:r w:rsidR="00FA5441" w:rsidRPr="00D16B79">
        <w:rPr>
          <w:rFonts w:ascii="Times New Roman" w:hAnsi="Times New Roman"/>
          <w:lang w:val="en-US"/>
        </w:rPr>
        <w:t>(Bazerman et al. 1999; Hsee 1996)</w:t>
      </w:r>
      <w:r w:rsidR="00A17533" w:rsidRPr="00D16B79">
        <w:rPr>
          <w:lang w:val="en-US"/>
        </w:rPr>
        <w:fldChar w:fldCharType="end"/>
      </w:r>
      <w:r w:rsidR="000E6228" w:rsidRPr="00D16B79">
        <w:rPr>
          <w:lang w:val="en-US"/>
        </w:rPr>
        <w:t xml:space="preserve">. </w:t>
      </w:r>
      <w:r w:rsidR="00521B5D">
        <w:rPr>
          <w:lang w:val="en-US"/>
        </w:rPr>
        <w:t xml:space="preserve">Yet, past work on goal progress </w:t>
      </w:r>
      <w:r w:rsidR="00521B5D" w:rsidRPr="00D16B79">
        <w:rPr>
          <w:lang w:val="en-US"/>
        </w:rPr>
        <w:t xml:space="preserve">has focused almost exclusively on separate-evaluation situations, where individuals evaluate their own or another’s progress in isolation. </w:t>
      </w:r>
      <w:r w:rsidR="000E6228" w:rsidRPr="00D16B79">
        <w:rPr>
          <w:lang w:val="en-US"/>
        </w:rPr>
        <w:t>Wh</w:t>
      </w:r>
      <w:r w:rsidR="00CA72B5" w:rsidRPr="00D16B79">
        <w:rPr>
          <w:lang w:val="en-US"/>
        </w:rPr>
        <w:t>ereas</w:t>
      </w:r>
      <w:r w:rsidR="000E6228" w:rsidRPr="00D16B79">
        <w:rPr>
          <w:lang w:val="en-US"/>
        </w:rPr>
        <w:t xml:space="preserve"> normative decision theories suggest that people should have stable and consistent preferences</w:t>
      </w:r>
      <w:r w:rsidR="000D6F10" w:rsidRPr="00D16B79">
        <w:rPr>
          <w:lang w:val="en-US"/>
        </w:rPr>
        <w:t>,</w:t>
      </w:r>
      <w:r w:rsidR="000E6228" w:rsidRPr="00D16B79">
        <w:rPr>
          <w:lang w:val="en-US"/>
        </w:rPr>
        <w:t xml:space="preserve"> regardless of how such preferences are elicited, research on evaluation modes demonstrates that choice format can have a large influence on decisions such as payoff allocations</w:t>
      </w:r>
      <w:r w:rsidR="00DF43DB">
        <w:rPr>
          <w:lang w:val="en-US"/>
        </w:rPr>
        <w:t xml:space="preserve">, </w:t>
      </w:r>
      <w:r w:rsidR="000E6228" w:rsidRPr="00D16B79">
        <w:rPr>
          <w:lang w:val="en-US"/>
        </w:rPr>
        <w:t>willingness to pay</w:t>
      </w:r>
      <w:r w:rsidR="00F67DF1" w:rsidRPr="00D16B79">
        <w:rPr>
          <w:lang w:val="en-US"/>
        </w:rPr>
        <w:t>,</w:t>
      </w:r>
      <w:r w:rsidR="000E6228" w:rsidRPr="00D16B79">
        <w:rPr>
          <w:lang w:val="en-US"/>
        </w:rPr>
        <w:t xml:space="preserve"> and consumer preferences and choices </w:t>
      </w:r>
      <w:r w:rsidR="000E6228" w:rsidRPr="00D16B79">
        <w:rPr>
          <w:lang w:val="en-US"/>
        </w:rPr>
        <w:fldChar w:fldCharType="begin"/>
      </w:r>
      <w:r w:rsidR="00181321">
        <w:rPr>
          <w:lang w:val="en-US"/>
        </w:rPr>
        <w:instrText xml:space="preserve"> ADDIN ZOTERO_ITEM CSL_CITATION {"citationID":"MQKz3Va6","properties":{"formattedCitation":"(Bazerman, Loewenstein, and White 1992; Hsee 1996; Irwin et al. 1993; Nowlis and Simonson 1997)","plainCitation":"(Bazerman, Loewenstein, and White 1992; Hsee 1996; Irwin et al. 1993; Nowlis and Simonson 1997)","noteIndex":0},"citationItems":[{"id":2049,"uris":["http://zotero.org/users/4606674/items/52GVUH29"],"itemData":{"id":2049,"type":"article-journal","abstract":"This paper identifies a systematic instability in the weight that people place on interpersonal comparisons of outcomes. When evaluating the desirability of a single outcome consisting of a payoff for oneself and another person, people display great concern for relative payoffs. However, when they choose between two or more outcomes, their choices reflect greater concern with their own payoffs and less concern for relative payoffs. Modal subjects in our experiments rated the outcome of $500 for self/$500 for other as more desirable than the outcome $600 for self/$800 for other when both were evaluated independently, but they chose the latter outcome over the former when presented with the two options simultaneously. We offer a theoretical explanation for this phenomenon and demonstrate its robustness.","archive":"JSTOR","container-title":"Administrative Science Quarterly","DOI":"10.2307/2393222","ISSN":"0001-8392","issue":"2","note":"publisher: [Sage Publications, Inc., Johnson Graduate School of Management, Cornell University]","page":"220-240","source":"JSTOR","title":"Reversals of Preference in Allocation Decisions: Judging an Alternative Versus Choosing Among Alternatives","title-short":"Reversals of Preference in Allocation Decisions","volume":"37","author":[{"family":"Bazerman","given":"Max H."},{"family":"Loewenstein","given":"George F."},{"family":"White","given":"Sally Blount"}],"issued":{"date-parts":[["1992"]]}},"label":"page"},{"id":2092,"uris":["http://zotero.org/users/4606674/items/JM2BGTWU"],"itemData":{"id":2092,"type":"article-journal","container-title":"Organizational Behavior and Human Decision Processes","DOI":"10.1006/obhd.1996.0077","ISSN":"07495978","issue":"3","journalAbbreviation":"Organizational Behavior and Human Decision Processes","language":"en","page":"247-257","source":"DOI.org (Crossref)","title":"The Evaluability Hypothesis: An Explanation for Preference Reversals between Joint and Separate Evaluations of Alternatives","title-short":"The Evaluability Hypothesis","volume":"67","author":[{"family":"Hsee","given":"Christopher K."}],"issued":{"date-parts":[["1996",9]]}},"label":"page"},{"id":1897,"uris":["http://zotero.org/users/4606674/items/R3P4XN5H"],"itemData":{"id":1897,"type":"article-journal","abstract":"Numerous studies have demonstrated that theoretically equivalent measures of preference, such as choices and prices, can lead to systematically different preference orderings, known as preference reversals. Two major causes of preference reversals are the compatibility effect and the prominence effect. The present studies demonstrate that the combined effects of prominence and compatibility lead to predictable preference reversals in settings where improvements in air quality are compared with improvements in consumer commodities by two methods-willingness to pay for each improvement and choice (For which of the two improvements would you pay more? Which improvement is more valuable to you?). Willingness to pay leads to relatively greater preference for improved commodities; choice leads to relatively greater preference for improved air quality. These results extend the domain of preference reversals and pose a challenge to traditional theories of preference. At the applied level, these findings indicate the need to develop new methods for valuing environmental resources.","container-title":"Journal of Risk and Uncertainty","DOI":"10.1007/BF01065347","ISSN":"1573-0476","issue":"1","journalAbbreviation":"J Risk Uncertainty","language":"en","page":"5-18","source":"Springer Link","title":"Preference Reversals and the Measurement of Environmental Values","volume":"6","author":[{"family":"Irwin","given":"Julie R."},{"family":"Slovic","given":"Paul"},{"family":"Lichtenstein","given":"Sarah"},{"family":"McClelland","given":"Gary H."}],"issued":{"date-parts":[["1993",1,1]]}},"label":"page"},{"id":1898,"uris":["http://zotero.org/users/4606674/items/LPPMHD4T"],"itemData":{"id":1898,"type":"article-journal","abstract":"The authors propose that consumers’ preferences are systematically affected by whether they make direct comparisons between brands (e.g., a choice task) or evaluate brands individually (e.g., purchase likelihood ratings). In particular, “comparable” attributes, which produce precise and easy-to-compute comparisons (e.g., price), tend to be relatively more important in comparison-based tasks. Conversely, “enriched” attributes (e.g., brand name), which are more difficult to compare but are often more meaningful and informative when evaluated on their own, tend to receive relatively greater weight when preferences are formed on the basis of separate evaluations of individual options. Consistent with this analysis, systematic preference reversals were observed in a series of studies, which tested the proposed explanation on the basis of attribute-task compatibility, demonstrated that the findings generalize across preference elicitation tasks and attributes that have the characteristics prescribed by their theory, and examined rival accounts. The authors discuss the theoretical implications of this research and explore its consequences for the measurement of buyers’ preferences and for marketers’ pricing, merchandising, distribution, and communications strategies.","container-title":"Journal of Marketing Research","DOI":"10.1177/002224379703400202","ISSN":"0022-2437","issue":"2","journalAbbreviation":"Journal of Marketing Research","language":"en","note":"publisher: SAGE Publications Inc","page":"205-218","source":"SAGE Journals","title":"Attribute–Task Compatibility as a Determinant of Consumer Preference Reversals","volume":"34","author":[{"family":"Nowlis","given":"Stephen M."},{"family":"Simonson","given":"Itamar"}],"issued":{"date-parts":[["1997",5,1]]}},"label":"page"}],"schema":"https://github.com/citation-style-language/schema/raw/master/csl-citation.json"} </w:instrText>
      </w:r>
      <w:r w:rsidR="000E6228" w:rsidRPr="00D16B79">
        <w:rPr>
          <w:lang w:val="en-US"/>
        </w:rPr>
        <w:fldChar w:fldCharType="separate"/>
      </w:r>
      <w:r w:rsidR="00DF43DB" w:rsidRPr="00DF43DB">
        <w:rPr>
          <w:rFonts w:ascii="Times New Roman" w:hAnsi="Times New Roman"/>
        </w:rPr>
        <w:t>(Bazerman, Loewenstein, and White 1992; Hsee 1996; Irwin et al. 1993; Nowlis and Simonson 1997)</w:t>
      </w:r>
      <w:r w:rsidR="000E6228" w:rsidRPr="00D16B79">
        <w:rPr>
          <w:lang w:val="en-US"/>
        </w:rPr>
        <w:fldChar w:fldCharType="end"/>
      </w:r>
      <w:r w:rsidR="000E6228" w:rsidRPr="00D16B79">
        <w:rPr>
          <w:lang w:val="en-US"/>
        </w:rPr>
        <w:t xml:space="preserve">. </w:t>
      </w:r>
    </w:p>
    <w:p w14:paraId="32FA5919" w14:textId="32ECCC79" w:rsidR="007A62E0" w:rsidRDefault="00F8541A" w:rsidP="00ED5C63">
      <w:pPr>
        <w:spacing w:line="480" w:lineRule="auto"/>
        <w:ind w:firstLine="720"/>
        <w:rPr>
          <w:lang w:val="en-US"/>
        </w:rPr>
      </w:pPr>
      <w:r w:rsidRPr="00D16B79">
        <w:rPr>
          <w:lang w:val="en-US"/>
        </w:rPr>
        <w:t>One of the main</w:t>
      </w:r>
      <w:r w:rsidR="00612DCA" w:rsidRPr="00D16B79">
        <w:rPr>
          <w:lang w:val="en-US"/>
        </w:rPr>
        <w:t xml:space="preserve"> theories </w:t>
      </w:r>
      <w:r w:rsidR="00CB7FF5" w:rsidRPr="00D16B79">
        <w:rPr>
          <w:lang w:val="en-US"/>
        </w:rPr>
        <w:t xml:space="preserve">advanced to </w:t>
      </w:r>
      <w:r w:rsidR="00612DCA" w:rsidRPr="00D16B79">
        <w:rPr>
          <w:lang w:val="en-US"/>
        </w:rPr>
        <w:t>explain preference shifts</w:t>
      </w:r>
      <w:r w:rsidR="002F6E57">
        <w:rPr>
          <w:lang w:val="en-US"/>
        </w:rPr>
        <w:t xml:space="preserve"> across evaluation mode, wherein </w:t>
      </w:r>
      <w:r w:rsidR="002F6E57" w:rsidRPr="00D16B79">
        <w:rPr>
          <w:lang w:val="en-US"/>
        </w:rPr>
        <w:t>the option that was preferred in one mode becomes less desirable in the other</w:t>
      </w:r>
      <w:r w:rsidR="002F6E57">
        <w:rPr>
          <w:lang w:val="en-US"/>
        </w:rPr>
        <w:t>,</w:t>
      </w:r>
      <w:r w:rsidRPr="00D16B79">
        <w:rPr>
          <w:lang w:val="en-US"/>
        </w:rPr>
        <w:t xml:space="preserve"> is the</w:t>
      </w:r>
      <w:r w:rsidR="00612DCA" w:rsidRPr="00D16B79">
        <w:rPr>
          <w:lang w:val="en-US"/>
        </w:rPr>
        <w:t xml:space="preserve"> </w:t>
      </w:r>
      <w:r w:rsidR="00612DCA" w:rsidRPr="00D16B79">
        <w:rPr>
          <w:i/>
          <w:iCs/>
          <w:lang w:val="en-US"/>
        </w:rPr>
        <w:t>evaluability</w:t>
      </w:r>
      <w:r w:rsidR="00612DCA" w:rsidRPr="00D16B79">
        <w:rPr>
          <w:lang w:val="en-US"/>
        </w:rPr>
        <w:t xml:space="preserve"> hypothesis</w:t>
      </w:r>
      <w:r w:rsidR="002F6E57">
        <w:rPr>
          <w:lang w:val="en-US"/>
        </w:rPr>
        <w:t xml:space="preserve"> </w:t>
      </w:r>
      <w:r w:rsidR="002F6E57">
        <w:rPr>
          <w:lang w:val="en-US"/>
        </w:rPr>
        <w:fldChar w:fldCharType="begin"/>
      </w:r>
      <w:r w:rsidR="00181321">
        <w:rPr>
          <w:lang w:val="en-US"/>
        </w:rPr>
        <w:instrText xml:space="preserve"> ADDIN ZOTERO_ITEM CSL_CITATION {"citationID":"ns8675n1","properties":{"formattedCitation":"(Hsee 1996)","plainCitation":"(Hsee 1996)","noteIndex":0},"citationItems":[{"id":2092,"uris":["http://zotero.org/users/4606674/items/JM2BGTWU"],"itemData":{"id":2092,"type":"article-journal","container-title":"Organizational Behavior and Human Decision Processes","DOI":"10.1006/obhd.1996.0077","ISSN":"07495978","issue":"3","journalAbbreviation":"Organizational Behavior and Human Decision Processes","language":"en","page":"247-257","source":"DOI.org (Crossref)","title":"The Evaluability Hypothesis: An Explanation for Preference Reversals between Joint and Separate Evaluations of Alternatives","title-short":"The Evaluability Hypothesis","volume":"67","author":[{"family":"Hsee","given":"Christopher K."}],"issued":{"date-parts":[["1996",9]]}}}],"schema":"https://github.com/citation-style-language/schema/raw/master/csl-citation.json"} </w:instrText>
      </w:r>
      <w:r w:rsidR="002F6E57">
        <w:rPr>
          <w:lang w:val="en-US"/>
        </w:rPr>
        <w:fldChar w:fldCharType="separate"/>
      </w:r>
      <w:r w:rsidR="002F6E57" w:rsidRPr="002F6E57">
        <w:rPr>
          <w:rFonts w:ascii="Times New Roman" w:hAnsi="Times New Roman"/>
        </w:rPr>
        <w:t>(Hsee 1996)</w:t>
      </w:r>
      <w:r w:rsidR="002F6E57">
        <w:rPr>
          <w:lang w:val="en-US"/>
        </w:rPr>
        <w:fldChar w:fldCharType="end"/>
      </w:r>
      <w:r w:rsidRPr="00D16B79">
        <w:rPr>
          <w:lang w:val="en-US"/>
        </w:rPr>
        <w:t>. This</w:t>
      </w:r>
      <w:r w:rsidR="00612DCA" w:rsidRPr="00D16B79">
        <w:rPr>
          <w:lang w:val="en-US"/>
        </w:rPr>
        <w:t xml:space="preserve"> posits that preference </w:t>
      </w:r>
      <w:r w:rsidR="002F6E57">
        <w:rPr>
          <w:lang w:val="en-US"/>
        </w:rPr>
        <w:t>shifts</w:t>
      </w:r>
      <w:r w:rsidR="00612DCA" w:rsidRPr="00D16B79">
        <w:rPr>
          <w:lang w:val="en-US"/>
        </w:rPr>
        <w:t xml:space="preserve"> occur when one attribute </w:t>
      </w:r>
      <w:r w:rsidR="00E52061" w:rsidRPr="00D16B79">
        <w:rPr>
          <w:lang w:val="en-US"/>
        </w:rPr>
        <w:t xml:space="preserve">becomes </w:t>
      </w:r>
      <w:r w:rsidR="00612DCA" w:rsidRPr="00D16B79">
        <w:rPr>
          <w:lang w:val="en-US"/>
        </w:rPr>
        <w:t xml:space="preserve">easier to evaluate when presented jointly </w:t>
      </w:r>
      <w:r w:rsidR="00E52061" w:rsidRPr="00D16B79">
        <w:rPr>
          <w:lang w:val="en-US"/>
        </w:rPr>
        <w:t xml:space="preserve">versus </w:t>
      </w:r>
      <w:r w:rsidR="00612DCA" w:rsidRPr="00D16B79">
        <w:rPr>
          <w:lang w:val="en-US"/>
        </w:rPr>
        <w:t>separately</w:t>
      </w:r>
      <w:r w:rsidR="000D6F10" w:rsidRPr="00D16B79">
        <w:rPr>
          <w:lang w:val="en-US"/>
        </w:rPr>
        <w:t>, which</w:t>
      </w:r>
      <w:r w:rsidR="00BF7F49" w:rsidRPr="00D16B79">
        <w:rPr>
          <w:lang w:val="en-US"/>
        </w:rPr>
        <w:t xml:space="preserve"> leads to differences</w:t>
      </w:r>
      <w:r w:rsidR="009536C6" w:rsidRPr="00D16B79">
        <w:rPr>
          <w:lang w:val="en-US"/>
        </w:rPr>
        <w:t xml:space="preserve"> </w:t>
      </w:r>
      <w:r w:rsidR="000D6F10" w:rsidRPr="00D16B79">
        <w:rPr>
          <w:lang w:val="en-US"/>
        </w:rPr>
        <w:t>when</w:t>
      </w:r>
      <w:r w:rsidR="009536C6" w:rsidRPr="00D16B79">
        <w:rPr>
          <w:lang w:val="en-US"/>
        </w:rPr>
        <w:t xml:space="preserve"> responding</w:t>
      </w:r>
      <w:r w:rsidR="00BF7F49" w:rsidRPr="00D16B79">
        <w:rPr>
          <w:lang w:val="en-US"/>
        </w:rPr>
        <w:t xml:space="preserve"> </w:t>
      </w:r>
      <w:r w:rsidR="00612DCA" w:rsidRPr="00CE38A4">
        <w:rPr>
          <w:lang w:val="en-US"/>
        </w:rPr>
        <w:fldChar w:fldCharType="begin"/>
      </w:r>
      <w:r w:rsidR="00181321">
        <w:rPr>
          <w:lang w:val="en-US"/>
        </w:rPr>
        <w:instrText xml:space="preserve"> ADDIN ZOTERO_ITEM CSL_CITATION {"citationID":"472iXeR7","properties":{"formattedCitation":"(Hsee 1996; Li and Hsee 2019)","plainCitation":"(Hsee 1996; Li and Hsee 2019)","noteIndex":0},"citationItems":[{"id":2092,"uris":["http://zotero.org/users/4606674/items/JM2BGTWU"],"itemData":{"id":2092,"type":"article-journal","container-title":"Organizational Behavior and Human Decision Processes","DOI":"10.1006/obhd.1996.0077","ISSN":"07495978","issue":"3","journalAbbreviation":"Organizational Behavior and Human Decision Processes","language":"en","page":"247-257","source":"DOI.org (Crossref)","title":"The Evaluability Hypothesis: An Explanation for Preference Reversals between Joint and Separate Evaluations of Alternatives","title-short":"The Evaluability Hypothesis","volume":"67","author":[{"family":"Hsee","given":"Christopher K."}],"issued":{"date-parts":[["1996",9]]}}},{"id":2090,"uris":["http://zotero.org/users/4606674/items/LYAB4Y25"],"itemData":{"id":2090,"type":"article-journal","abstract":"Extensive existing research has studied how decisions differ between joint evaluation (JE) and single evaluation (SE), but most of the research aims to demonstrate preference reversals between two alternatives that vary on two attributes simultaneously. Thus, extant research cannot tell whether the reversal occurs because one of the attributes has a greater effect in JE than in SE, or the other attribute has a greater effect in SE than in JE, or both. Going beyond preference reversals, this research examines options that vary on only one attribute and studies whether the single attribute has a greater effect in JE or SE. We posit that any single attribute has two underlying characteristics—evaluability (i.e., whether people can evaluate a given value of the attribute without having to compare it with other values) and justifiability (i.e., whether people believe they should base their decisions on the attribute). Whether the single attribute has a greater effect in JE or SE depends on both the attribute’s evaluability and justifiability. Specifically, (a) a high-justifiability/low-evaluability attribute (e.g., whether a candidate for a programming job has written 100 or 200 programs) has a greater effect in JE than in SE, and (b) a low-justifiability/high-evaluability attribute (e.g., whether the candidate belongs to a discriminated-against minority group) has a greater effect in SE than in JE. While the first proposition has been tested in prior research on evaluability, the second has not. Four experiments, including one in a naturally-occurring setting and another with orthogonal manipulation of evaluability and justifiability, tested and supported these propositions, especially the second.","container-title":"Organizational Behavior and Human Decision Processes","DOI":"10.1016/j.obhdp.2019.04.007","ISSN":"07495978","journalAbbreviation":"Organizational Behavior and Human Decision Processes","language":"en","page":"63-74","source":"DOI.org (Crossref)","title":"Beyond Preference Reversal: Distinguishing Justifiability from Evaluability in Joint Versus Single Evaluations","title-short":"Beyond Preference Reversal","volume":"153","author":[{"family":"Li","given":"Xilin"},{"family":"Hsee","given":"Christopher K."}],"issued":{"date-parts":[["2019",7]]}}}],"schema":"https://github.com/citation-style-language/schema/raw/master/csl-citation.json"} </w:instrText>
      </w:r>
      <w:r w:rsidR="00612DCA" w:rsidRPr="00CE38A4">
        <w:rPr>
          <w:lang w:val="en-US"/>
        </w:rPr>
        <w:fldChar w:fldCharType="separate"/>
      </w:r>
      <w:r w:rsidR="00FA5441" w:rsidRPr="00CE38A4">
        <w:rPr>
          <w:rFonts w:ascii="Times New Roman" w:hAnsi="Times New Roman"/>
          <w:lang w:val="en-US"/>
        </w:rPr>
        <w:t>(Hsee 1996; Li and Hsee 2019)</w:t>
      </w:r>
      <w:r w:rsidR="00612DCA" w:rsidRPr="00CE38A4">
        <w:rPr>
          <w:lang w:val="en-US"/>
        </w:rPr>
        <w:fldChar w:fldCharType="end"/>
      </w:r>
      <w:r w:rsidR="00612DCA" w:rsidRPr="00CE38A4">
        <w:rPr>
          <w:lang w:val="en-US"/>
        </w:rPr>
        <w:t xml:space="preserve">. </w:t>
      </w:r>
      <w:r w:rsidR="00971196">
        <w:rPr>
          <w:lang w:val="en-US"/>
        </w:rPr>
        <w:t xml:space="preserve">Consumers draw inferences from the information they are given </w:t>
      </w:r>
      <w:r w:rsidR="00971196">
        <w:rPr>
          <w:lang w:val="en-US"/>
        </w:rPr>
        <w:fldChar w:fldCharType="begin"/>
      </w:r>
      <w:r w:rsidR="00971196">
        <w:rPr>
          <w:lang w:val="en-US"/>
        </w:rPr>
        <w:instrText xml:space="preserve"> ADDIN ZOTERO_ITEM CSL_CITATION {"citationID":"gN7JWV0z","properties":{"formattedCitation":"(Koo and Fishbach 2008)","plainCitation":"(Koo and Fishbach 2008)","noteIndex":0},"citationItems":[{"id":702,"uris":["http://zotero.org/users/4606674/items/7E3V7KIF"],"itemData":{"id":702,"type":"article-journal","container-title":"Journal of Personality and Social Psychology","DOI":"10.1037/0022-3514.94.2.183","ISSN":"1939-1315, 0022-3514","issue":"2","language":"en","page":"183-195","source":"CrossRef","title":"Dynamics of self-regulation: How (un)accomplished goal actions affect motivation.","title-short":"Dynamics of self-regulation","volume":"94","author":[{"family":"Koo","given":"Minjung"},{"family":"Fishbach","given":"Ayelet"}],"issued":{"date-parts":[["2008"]]}}}],"schema":"https://github.com/citation-style-language/schema/raw/master/csl-citation.json"} </w:instrText>
      </w:r>
      <w:r w:rsidR="00971196">
        <w:rPr>
          <w:lang w:val="en-US"/>
        </w:rPr>
        <w:fldChar w:fldCharType="separate"/>
      </w:r>
      <w:r w:rsidR="00971196" w:rsidRPr="00971196">
        <w:rPr>
          <w:rFonts w:ascii="Times New Roman" w:hAnsi="Times New Roman"/>
        </w:rPr>
        <w:t>(Koo and Fishbach 2008)</w:t>
      </w:r>
      <w:r w:rsidR="00971196">
        <w:rPr>
          <w:lang w:val="en-US"/>
        </w:rPr>
        <w:fldChar w:fldCharType="end"/>
      </w:r>
      <w:r w:rsidR="00971196">
        <w:rPr>
          <w:lang w:val="en-US"/>
        </w:rPr>
        <w:t xml:space="preserve">, and joint evaluation can systematically change the inferences they make by changing how easy it is to evaluate important attributes. </w:t>
      </w:r>
      <w:r w:rsidR="00286E0C" w:rsidRPr="00CE38A4">
        <w:rPr>
          <w:lang w:val="en-US"/>
        </w:rPr>
        <w:t>W</w:t>
      </w:r>
      <w:r w:rsidR="00CB7FF5" w:rsidRPr="00CE38A4">
        <w:rPr>
          <w:lang w:val="en-US"/>
        </w:rPr>
        <w:t xml:space="preserve">e </w:t>
      </w:r>
      <w:r w:rsidRPr="00CE38A4">
        <w:rPr>
          <w:lang w:val="en-US"/>
        </w:rPr>
        <w:t xml:space="preserve">draw on this work </w:t>
      </w:r>
      <w:r w:rsidR="00A8724D" w:rsidRPr="00CE38A4">
        <w:rPr>
          <w:lang w:val="en-US"/>
        </w:rPr>
        <w:t>to</w:t>
      </w:r>
      <w:r w:rsidRPr="00CE38A4">
        <w:rPr>
          <w:lang w:val="en-US"/>
        </w:rPr>
        <w:t xml:space="preserve"> </w:t>
      </w:r>
      <w:r w:rsidR="00D915D9" w:rsidRPr="00CE38A4">
        <w:rPr>
          <w:lang w:val="en-US"/>
        </w:rPr>
        <w:t>predict that the key attribute</w:t>
      </w:r>
      <w:r w:rsidR="00286E0C" w:rsidRPr="00CE38A4">
        <w:rPr>
          <w:lang w:val="en-US"/>
        </w:rPr>
        <w:t xml:space="preserve"> of </w:t>
      </w:r>
      <w:r w:rsidR="00C50486" w:rsidRPr="00CE38A4">
        <w:rPr>
          <w:lang w:val="en-US"/>
        </w:rPr>
        <w:t>need</w:t>
      </w:r>
      <w:r w:rsidR="003E4F1A" w:rsidRPr="00CE38A4">
        <w:rPr>
          <w:lang w:val="en-US"/>
        </w:rPr>
        <w:t xml:space="preserve"> </w:t>
      </w:r>
      <w:r w:rsidR="00BE5FD5" w:rsidRPr="00CE38A4">
        <w:rPr>
          <w:lang w:val="en-US"/>
        </w:rPr>
        <w:t xml:space="preserve">for help </w:t>
      </w:r>
      <w:r w:rsidR="006A65CF" w:rsidRPr="00CE38A4">
        <w:rPr>
          <w:lang w:val="en-US"/>
        </w:rPr>
        <w:t xml:space="preserve">will be </w:t>
      </w:r>
      <w:r w:rsidR="0056237B" w:rsidRPr="00CE38A4">
        <w:rPr>
          <w:lang w:val="en-US"/>
        </w:rPr>
        <w:t xml:space="preserve">more salient and </w:t>
      </w:r>
      <w:r w:rsidRPr="00CE38A4">
        <w:rPr>
          <w:lang w:val="en-US"/>
        </w:rPr>
        <w:t>easier to</w:t>
      </w:r>
      <w:r w:rsidR="003E4F1A" w:rsidRPr="00CE38A4">
        <w:rPr>
          <w:lang w:val="en-US"/>
        </w:rPr>
        <w:t xml:space="preserve"> evaluate </w:t>
      </w:r>
      <w:r w:rsidRPr="00CE38A4">
        <w:rPr>
          <w:lang w:val="en-US"/>
        </w:rPr>
        <w:t>in</w:t>
      </w:r>
      <w:r w:rsidR="00FF28B4" w:rsidRPr="00CE38A4">
        <w:rPr>
          <w:lang w:val="en-US"/>
        </w:rPr>
        <w:t xml:space="preserve"> joint </w:t>
      </w:r>
      <w:r w:rsidRPr="00CE38A4">
        <w:rPr>
          <w:lang w:val="en-US"/>
        </w:rPr>
        <w:t>compare</w:t>
      </w:r>
      <w:r w:rsidR="001C5030" w:rsidRPr="00CE38A4">
        <w:rPr>
          <w:lang w:val="en-US"/>
        </w:rPr>
        <w:t>d</w:t>
      </w:r>
      <w:r w:rsidRPr="00CE38A4">
        <w:rPr>
          <w:lang w:val="en-US"/>
        </w:rPr>
        <w:t xml:space="preserve"> to </w:t>
      </w:r>
      <w:r w:rsidR="00FF28B4" w:rsidRPr="00CE38A4">
        <w:rPr>
          <w:lang w:val="en-US"/>
        </w:rPr>
        <w:t>separate evaluation mode</w:t>
      </w:r>
      <w:r w:rsidR="002F6E57" w:rsidRPr="00CE38A4">
        <w:rPr>
          <w:lang w:val="en-US"/>
        </w:rPr>
        <w:t xml:space="preserve"> and that</w:t>
      </w:r>
      <w:r w:rsidR="002F6E57">
        <w:rPr>
          <w:lang w:val="en-US"/>
        </w:rPr>
        <w:t xml:space="preserve"> this will increase</w:t>
      </w:r>
      <w:r w:rsidR="009032EC" w:rsidRPr="00D16B79">
        <w:rPr>
          <w:lang w:val="en-US"/>
        </w:rPr>
        <w:t xml:space="preserve"> </w:t>
      </w:r>
      <w:r w:rsidR="002F6E57">
        <w:rPr>
          <w:lang w:val="en-US"/>
        </w:rPr>
        <w:t>perceptions of</w:t>
      </w:r>
      <w:r w:rsidR="00060DB4" w:rsidRPr="00D16B79">
        <w:rPr>
          <w:lang w:val="en-US"/>
        </w:rPr>
        <w:t xml:space="preserve"> </w:t>
      </w:r>
      <w:r w:rsidR="00C50486" w:rsidRPr="00D16B79">
        <w:rPr>
          <w:lang w:val="en-US"/>
        </w:rPr>
        <w:t>need</w:t>
      </w:r>
      <w:r w:rsidRPr="00D16B79">
        <w:rPr>
          <w:lang w:val="en-US"/>
        </w:rPr>
        <w:t xml:space="preserve"> </w:t>
      </w:r>
      <w:r w:rsidR="0086705A">
        <w:rPr>
          <w:lang w:val="en-US"/>
        </w:rPr>
        <w:t xml:space="preserve">for help </w:t>
      </w:r>
      <w:r w:rsidR="002F6E57">
        <w:rPr>
          <w:lang w:val="en-US"/>
        </w:rPr>
        <w:t>for the charity farther from the</w:t>
      </w:r>
      <w:r w:rsidR="00575471">
        <w:rPr>
          <w:lang w:val="en-US"/>
        </w:rPr>
        <w:t>ir</w:t>
      </w:r>
      <w:r w:rsidR="002F6E57">
        <w:rPr>
          <w:lang w:val="en-US"/>
        </w:rPr>
        <w:t xml:space="preserve"> goal</w:t>
      </w:r>
      <w:r w:rsidR="009032EC" w:rsidRPr="00D16B79">
        <w:rPr>
          <w:lang w:val="en-US"/>
        </w:rPr>
        <w:t xml:space="preserve">, </w:t>
      </w:r>
      <w:r w:rsidR="004A3332">
        <w:rPr>
          <w:lang w:val="en-US"/>
        </w:rPr>
        <w:t>leading to greater</w:t>
      </w:r>
      <w:r w:rsidR="007A62E0">
        <w:rPr>
          <w:lang w:val="en-US"/>
        </w:rPr>
        <w:t xml:space="preserve"> donations</w:t>
      </w:r>
      <w:r w:rsidR="005647FC" w:rsidRPr="00D16B79">
        <w:rPr>
          <w:lang w:val="en-US"/>
        </w:rPr>
        <w:t xml:space="preserve"> to the charity</w:t>
      </w:r>
      <w:r w:rsidR="006B5A77">
        <w:rPr>
          <w:lang w:val="en-US"/>
        </w:rPr>
        <w:t xml:space="preserve"> </w:t>
      </w:r>
      <w:r w:rsidR="004619EE">
        <w:rPr>
          <w:lang w:val="en-US"/>
        </w:rPr>
        <w:t xml:space="preserve">with a greater </w:t>
      </w:r>
      <w:r w:rsidR="006B5A77">
        <w:rPr>
          <w:lang w:val="en-US"/>
        </w:rPr>
        <w:t>need</w:t>
      </w:r>
      <w:r w:rsidR="004E54E3">
        <w:rPr>
          <w:lang w:val="en-US"/>
        </w:rPr>
        <w:t xml:space="preserve"> </w:t>
      </w:r>
      <w:r w:rsidR="004619EE">
        <w:rPr>
          <w:lang w:val="en-US"/>
        </w:rPr>
        <w:t>for</w:t>
      </w:r>
      <w:r w:rsidR="00403013">
        <w:rPr>
          <w:lang w:val="en-US"/>
        </w:rPr>
        <w:t xml:space="preserve"> </w:t>
      </w:r>
      <w:r w:rsidR="004E54E3">
        <w:rPr>
          <w:lang w:val="en-US"/>
        </w:rPr>
        <w:t>help</w:t>
      </w:r>
      <w:r w:rsidR="00C06553" w:rsidRPr="00D16B79">
        <w:rPr>
          <w:lang w:val="en-US"/>
        </w:rPr>
        <w:t xml:space="preserve">. </w:t>
      </w:r>
      <w:r w:rsidR="004A3332" w:rsidRPr="006B17D6">
        <w:t xml:space="preserve">We conceptualize </w:t>
      </w:r>
      <w:r w:rsidR="004A3332" w:rsidRPr="006B17D6">
        <w:rPr>
          <w:i/>
        </w:rPr>
        <w:t>need for help</w:t>
      </w:r>
      <w:r w:rsidR="004A3332" w:rsidRPr="006B17D6">
        <w:t xml:space="preserve"> as the potential donor’s perception of the level of assistance that the target (such as the recipient or the cause) requires. </w:t>
      </w:r>
      <w:r w:rsidR="001240BF">
        <w:t xml:space="preserve">This </w:t>
      </w:r>
      <w:r w:rsidR="004241C8">
        <w:t>focus on the target distinguishes</w:t>
      </w:r>
      <w:r w:rsidR="001240BF">
        <w:t xml:space="preserve"> </w:t>
      </w:r>
      <w:r w:rsidR="001240BF" w:rsidRPr="004241C8">
        <w:rPr>
          <w:iCs/>
        </w:rPr>
        <w:t>need for help</w:t>
      </w:r>
      <w:r w:rsidR="001240BF">
        <w:t xml:space="preserve"> </w:t>
      </w:r>
      <w:r w:rsidR="004D6B19">
        <w:t xml:space="preserve">from </w:t>
      </w:r>
      <w:r w:rsidR="003224F5">
        <w:t>related</w:t>
      </w:r>
      <w:r w:rsidR="004D6B19">
        <w:t xml:space="preserve"> constructs</w:t>
      </w:r>
      <w:r w:rsidR="004241C8">
        <w:t xml:space="preserve">, such as </w:t>
      </w:r>
      <w:r w:rsidR="004241C8" w:rsidRPr="00EA24B9">
        <w:rPr>
          <w:i/>
        </w:rPr>
        <w:t>need for progress</w:t>
      </w:r>
      <w:r w:rsidR="004241C8">
        <w:t xml:space="preserve">, that </w:t>
      </w:r>
      <w:r w:rsidR="004241C8">
        <w:lastRenderedPageBreak/>
        <w:t>focus</w:t>
      </w:r>
      <w:r w:rsidR="004D6B19">
        <w:t xml:space="preserve"> on the</w:t>
      </w:r>
      <w:r w:rsidR="00005906">
        <w:t xml:space="preserve"> </w:t>
      </w:r>
      <w:r w:rsidR="003224F5">
        <w:t>psychological</w:t>
      </w:r>
      <w:r w:rsidR="001240BF">
        <w:t xml:space="preserve"> </w:t>
      </w:r>
      <w:r w:rsidR="008F24BC">
        <w:t>motivation</w:t>
      </w:r>
      <w:r w:rsidR="001240BF">
        <w:t xml:space="preserve"> of the </w:t>
      </w:r>
      <w:r w:rsidR="00005906">
        <w:t xml:space="preserve">donor </w:t>
      </w:r>
      <w:r w:rsidR="001F3647" w:rsidRPr="006B17D6">
        <w:rPr>
          <w:bCs/>
          <w:lang w:val="en-US"/>
        </w:rPr>
        <w:fldChar w:fldCharType="begin"/>
      </w:r>
      <w:r w:rsidR="001F3647" w:rsidRPr="006B17D6">
        <w:rPr>
          <w:bCs/>
          <w:lang w:val="en-US"/>
        </w:rPr>
        <w:instrText xml:space="preserve"> ADDIN ZOTERO_ITEM CSL_CITATION {"citationID":"ospnfvfa","properties":{"formattedCitation":"(Fishbach, Henderson, and Koo 2011; Fishbach, Koo, and Finkelstein 2014; Koo and Fishbach 2008, 2012, 2014)","plainCitation":"(Fishbach, Henderson, and Koo 2011; Fishbach, Koo, and Finkelstein 2014; Koo and Fishbach 2008, 2012, 2014)","noteIndex":0},"citationItems":[{"id":14820,"uris":["http://zotero.org/users/4606674/items/66YHUSDR"],"itemData":{"id":14820,"type":"article-journal","abstract":"This article addresses what factors best motivate individuals to work toward shared goals. We propose that when individuals do not identify highly with a group, their contributions will mimic others': An emphasis on things done will increase their contributions toward achieving a goal, because such emphasis suggests the goal is worth pursuing. Conversely, we propose that when individuals identify highly with a group, their contributions will compensate for others': An emphasis on things left undone will increase their own contributions, because missing contributions suggest insufficient progress toward a goal they already consider worthwhile. Five studies lend support to these predictions by measuring contributions to goals centered on idea generation and helping victims of various global disasters (earthquake in Haiti, wildfires in Southern California, rioting in Kenya). (PsycINFO Database Record (c) 2016 APA, all rights reserved)","container-title":"Journal of Experimental Psychology: General","DOI":"10.1037/a0023907","ISSN":"1939-2222","issue":"3","note":"publisher-place: US\npublisher: American Psychological Association","page":"520-534","source":"APA PsycNet","title":"Pursuing goals with others: Group identification and motivation resulting from things done versus things left undone","title-short":"Pursuing goals with others","volume":"140","author":[{"family":"Fishbach","given":"Ayelet"},{"family":"Henderson","given":"Marlone D."},{"family":"Koo","given":"Minjung"}],"issued":{"date-parts":[["2011"]]}}},{"id":14835,"uris":["http://zotero.org/users/4606674/items/CLDI8PBP"],"itemData":{"id":14835,"type":"chapter","abstract":"This chapter asks, when does motivation increase as a result of attending to accomplishments and when does it increase as a result of attending to their absence? We propose that attention to accomplishments increases motivation among uncommitted and inexperienced individuals by increasing their goal commitment. In contrast, attention to lack of accomplishments increases motivation among committed and experienced individuals by increasing their perceived need to make progress on a goal. We document parallel influences of attention to completed and missing actions on the pursuit of personal and shared goals, and document similarities between the types of information on completing versus missing actions that individuals include in the feedback they seek and give to each other and how they respond to this information.","container-title":"Advances in Experimental Social Psychology","event-place":"New York","note":"DOI: 10.1016/B978-0-12-800284-1.00005-9","page":"257-307","publisher":"Academic Press","publisher-place":"New York","source":"ScienceDirect","title":"Chapter Five - Motivation Resulting from Completed and Missing Actions","URL":"https://www.sciencedirect.com/science/article/pii/B9780128002841000059","volume":"50","author":[{"family":"Fishbach","given":"Ayelet"},{"family":"Koo","given":"Minjung"},{"family":"Finkelstein","given":"Stacey R."}],"editor":[{"family":"Olson","given":"James M."},{"family":"Zanna","given":"Mark P."}],"accessed":{"date-parts":[["2024",1,18]]},"issued":{"date-parts":[["2014",1,1]]}}},{"id":702,"uris":["http://zotero.org/users/4606674/items/7E3V7KIF"],"itemData":{"id":702,"type":"article-journal","container-title":"Journal of Personality and Social Psychology","DOI":"10.1037/0022-3514.94.2.183","ISSN":"1939-1315, 0022-3514","issue":"2","language":"en","page":"183-195","source":"CrossRef","title":"Dynamics of self-regulation: How (un)accomplished goal actions affect motivation.","title-short":"Dynamics of self-regulation","volume":"94","author":[{"family":"Koo","given":"Minjung"},{"family":"Fishbach","given":"Ayelet"}],"issued":{"date-parts":[["2008"]]}}},{"id":2323,"uris":["http://zotero.org/users/4606674/items/U2NESV2V"],"itemData":{"id":2323,"type":"article-journal","container-title":"Journal of Consumer Research","issue":"3","note":"publisher: University of Chicago Press Chicago, IL","page":"493–509","source":"Google Scholar","title":"The Small-Area Hypothesis: Effects of Progress Monitoring on Goal Adherence","title-short":"The Small-Area Hypothesis","volume":"39","author":[{"family":"Koo","given":"Minjung"},{"family":"Fishbach","given":"Ayelet"}],"issued":{"date-parts":[["2012"]]}}},{"id":14833,"uris":["http://zotero.org/users/4606674/items/EQ7AKNP7"],"itemData":{"id":14833,"type":"article-journal","abstract":"Two factors increase the motivation to adhere to a goal: goal commitment and lack of goal progress. When people ask about commitment, focusing on what they have accomplished (to date) signals to them high commitment and increases motivation. Conversely, when commitment is certain and people ask about goal progress, focusing on what they have yet to accomplish (to go) signals to them lack of progress and increases motivation. Accordingly, 4 studies show that emphasizing to-date information increases goal adherence when commitment is uncertain-that is, when participants study for a relatively unimportant exam, consume luxuries, fulfill a desire, and make first-time contributions to a charity. Conversely, emphasizing to-go information increases goal adherence when commitment is certain-that is, when participants study for an important exam, consume necessities, fulfill a need, and make repeated contributions to a charity. (PsycINFO Database Record (c) 2016 APA, all rights reserved)","container-title":"Motivation Science","DOI":"10.1037/2333-8113.1.S.73","ISSN":"2333-8121","issue":"S","note":"publisher-place: US\npublisher: Educational Publishing Foundation","page":"73-90","source":"APA PsycNet","title":"Dynamics of self-regulation: How (un)accomplished goal actions affect motivation","title-short":"Dynamics of self-regulation","volume":"1","author":[{"family":"Koo","given":"Minjung"},{"family":"Fishbach","given":"Ayelet"}],"issued":{"date-parts":[["2014"]]}}}],"schema":"https://github.com/citation-style-language/schema/raw/master/csl-citation.json"} </w:instrText>
      </w:r>
      <w:r w:rsidR="001F3647" w:rsidRPr="006B17D6">
        <w:rPr>
          <w:bCs/>
          <w:lang w:val="en-US"/>
        </w:rPr>
        <w:fldChar w:fldCharType="separate"/>
      </w:r>
      <w:r w:rsidR="001F3647" w:rsidRPr="006B17D6">
        <w:rPr>
          <w:rFonts w:ascii="Times New Roman" w:hAnsi="Times New Roman"/>
        </w:rPr>
        <w:t>(Fishbach, Henderson, and Koo 2011; Fishbach, Koo, and Finkelstein 2014; Koo and Fishbach 2008, 2012, 2014)</w:t>
      </w:r>
      <w:r w:rsidR="001F3647" w:rsidRPr="006B17D6">
        <w:rPr>
          <w:bCs/>
          <w:lang w:val="en-US"/>
        </w:rPr>
        <w:fldChar w:fldCharType="end"/>
      </w:r>
      <w:r w:rsidR="001F3647">
        <w:rPr>
          <w:bCs/>
          <w:lang w:val="en-US"/>
        </w:rPr>
        <w:t xml:space="preserve">. </w:t>
      </w:r>
      <w:r w:rsidR="004A3332" w:rsidRPr="006B17D6">
        <w:t>We suggest that, when information is presented in a way that emphasizes the need for help of a target charity, this will drive donations to that target.</w:t>
      </w:r>
      <w:r w:rsidR="00971196" w:rsidRPr="006B17D6">
        <w:t xml:space="preserve"> </w:t>
      </w:r>
      <w:r w:rsidR="00ED0DB0" w:rsidRPr="00AB17AB">
        <w:rPr>
          <w:lang w:val="en-US"/>
        </w:rPr>
        <w:t xml:space="preserve">Given that </w:t>
      </w:r>
      <w:r w:rsidR="00AB17AB" w:rsidRPr="003E2E0F">
        <w:rPr>
          <w:lang w:val="en-US"/>
        </w:rPr>
        <w:t xml:space="preserve">relative (versus absolute) judgments have been shown to make various dimensions including </w:t>
      </w:r>
      <w:r w:rsidR="00767BFB" w:rsidRPr="00AB17AB">
        <w:rPr>
          <w:lang w:val="en-US"/>
        </w:rPr>
        <w:t>social status, wealth</w:t>
      </w:r>
      <w:r w:rsidR="003E2E0F">
        <w:rPr>
          <w:lang w:val="en-US"/>
        </w:rPr>
        <w:t xml:space="preserve">, </w:t>
      </w:r>
      <w:r w:rsidR="00ED5C63" w:rsidRPr="00AB17AB">
        <w:rPr>
          <w:lang w:val="en-US"/>
        </w:rPr>
        <w:t xml:space="preserve">and </w:t>
      </w:r>
      <w:r w:rsidR="00767BFB" w:rsidRPr="00AB17AB">
        <w:rPr>
          <w:lang w:val="en-US"/>
        </w:rPr>
        <w:t xml:space="preserve">pay </w:t>
      </w:r>
      <w:r w:rsidR="00767BFB" w:rsidRPr="00C311EC">
        <w:rPr>
          <w:lang w:val="en-US"/>
        </w:rPr>
        <w:fldChar w:fldCharType="begin"/>
      </w:r>
      <w:r w:rsidR="00181321">
        <w:rPr>
          <w:lang w:val="en-US"/>
        </w:rPr>
        <w:instrText xml:space="preserve"> ADDIN ZOTERO_ITEM CSL_CITATION {"citationID":"YRKs7mq4","properties":{"formattedCitation":"(Major and Forcey 1985; Ordabayeva and Chandon 2011)","plainCitation":"(Major and Forcey 1985; Ordabayeva and Chandon 2011)","noteIndex":0},"citationItems":[{"id":2579,"uris":["http://zotero.org/users/4606674/items/TZWQJ9ZM"],"itemData":{"id":2579,"type":"article-journal","abstract":"This research examined women's and men's social comparison preferences when evaluating the fairness of pay. Subjects were assigned randomly to work on a job described as masculine, feminine, or sex neutral and were told that they would be paid for their work. After working on the job and privately receiving identical payment, subjects rank ordered their preference for seeing the average male, average female, and average combined-sex wage paid in each of the three jobs. Despite the availability of the combined-sex wage, subjects preferred to maximize similarity in their wage comparisons, with the majority choosing to see the pay of a same-sex and same-job group first. Regardless of the sex linkage of their job assignment, subjects selected a same-job comparison first. Sex linkage of job did affect same-sex preferences; whereas subjects in sex-appropriate and sex-neutral jobs showed a significant preference for seeing the pay of same-sex others first, subjects in sex-inappropriate jobs did not. Results also indicated that both men and women assigned to the feminine job expected somewhat less pay and thought their obtained pay was more fair than did those assigned to the masculine job. Furthermore, women thought they deserved less pay for their work than did men, regardless of their job assignment. Implications of these results for gender differences in outcome evaluations are discussed.","container-title":"Journal of Experimental Social Psychology","DOI":"10.1016/0022-1031(85)90038-1","ISSN":"0022-1031","issue":"4","journalAbbreviation":"Journal of Experimental Social Psychology","language":"en","page":"393-405","source":"ScienceDirect","title":"Social Comparisons and Pay Evaluations: Preferences for Same-Sex and Same-Job Wage Comparisons","title-short":"Social Comparisons and Pay Evaluations","volume":"21","author":[{"family":"Major","given":"Brenda"},{"family":"Forcey","given":"Blythe"}],"issued":{"date-parts":[["1985",7,1]]}}},{"id":2480,"uris":["http://zotero.org/users/4606674/items/BJY73SRS"],"itemData":{"id":2480,"type":"article-journal","container-title":"Journal of Consumer Research","DOI":"10.1086/658165","ISSN":"0093-5301, 1537-5277","issue":"1","journalAbbreviation":"J Consum Res","language":"en","page":"27-41","source":"DOI.org (Crossref)","title":"Getting Ahead of the Joneses: When Equality Increases Conspicuous Consumption among Bottom-Tier Consumers","title-short":"Getting Ahead of the Joneses","volume":"38","author":[{"family":"Ordabayeva","given":"Nailya"},{"family":"Chandon","given":"Pierre"}],"issued":{"date-parts":[["2011",6,1]]}}}],"schema":"https://github.com/citation-style-language/schema/raw/master/csl-citation.json"} </w:instrText>
      </w:r>
      <w:r w:rsidR="00767BFB" w:rsidRPr="00C311EC">
        <w:rPr>
          <w:lang w:val="en-US"/>
        </w:rPr>
        <w:fldChar w:fldCharType="separate"/>
      </w:r>
      <w:r w:rsidR="003E2E0F" w:rsidRPr="003E2E0F">
        <w:rPr>
          <w:rFonts w:ascii="Times New Roman" w:hAnsi="Times New Roman"/>
        </w:rPr>
        <w:t>(Major and Forcey 1985; Ordabayeva and Chandon 2011)</w:t>
      </w:r>
      <w:r w:rsidR="00767BFB" w:rsidRPr="00C311EC">
        <w:rPr>
          <w:lang w:val="en-US"/>
        </w:rPr>
        <w:fldChar w:fldCharType="end"/>
      </w:r>
      <w:r w:rsidR="00767BFB" w:rsidRPr="00AB17AB">
        <w:rPr>
          <w:lang w:val="en-US"/>
        </w:rPr>
        <w:t xml:space="preserve"> </w:t>
      </w:r>
      <w:r w:rsidR="00AB17AB" w:rsidRPr="003E2E0F">
        <w:rPr>
          <w:lang w:val="en-US"/>
        </w:rPr>
        <w:t xml:space="preserve">easier to evaluate, </w:t>
      </w:r>
      <w:r w:rsidR="00ED0DB0" w:rsidRPr="00AB17AB">
        <w:rPr>
          <w:lang w:val="en-US"/>
        </w:rPr>
        <w:t>we propose that comparative eval</w:t>
      </w:r>
      <w:r w:rsidR="00ED0DB0" w:rsidRPr="00CE38A4">
        <w:rPr>
          <w:lang w:val="en-US"/>
        </w:rPr>
        <w:t xml:space="preserve">uation of goal progress </w:t>
      </w:r>
      <w:r w:rsidR="00ED5C63" w:rsidRPr="00CE38A4">
        <w:rPr>
          <w:lang w:val="en-US"/>
        </w:rPr>
        <w:t>should</w:t>
      </w:r>
      <w:r w:rsidR="00420E8A" w:rsidRPr="00CE38A4">
        <w:rPr>
          <w:lang w:val="en-US"/>
        </w:rPr>
        <w:t xml:space="preserve"> </w:t>
      </w:r>
      <w:r w:rsidR="00EE2E6B" w:rsidRPr="00CE38A4">
        <w:rPr>
          <w:lang w:val="en-US"/>
        </w:rPr>
        <w:t xml:space="preserve">make it easier to evaluate differences in </w:t>
      </w:r>
      <w:r w:rsidR="00D9701C" w:rsidRPr="00CE38A4">
        <w:rPr>
          <w:lang w:val="en-US"/>
        </w:rPr>
        <w:t xml:space="preserve">need </w:t>
      </w:r>
      <w:r w:rsidR="00BE5FD5" w:rsidRPr="00CE38A4">
        <w:rPr>
          <w:lang w:val="en-US"/>
        </w:rPr>
        <w:t xml:space="preserve">for help </w:t>
      </w:r>
      <w:r w:rsidR="003263F3" w:rsidRPr="00CE38A4">
        <w:rPr>
          <w:lang w:val="en-US"/>
        </w:rPr>
        <w:t>between options</w:t>
      </w:r>
      <w:r w:rsidR="006B5A77" w:rsidRPr="00CE38A4">
        <w:rPr>
          <w:lang w:val="en-US"/>
        </w:rPr>
        <w:t xml:space="preserve">, leading consumers to give </w:t>
      </w:r>
      <w:r w:rsidR="004E54E3" w:rsidRPr="00CE38A4">
        <w:rPr>
          <w:lang w:val="en-US"/>
        </w:rPr>
        <w:t xml:space="preserve">to the project that </w:t>
      </w:r>
      <w:r w:rsidR="00971196">
        <w:rPr>
          <w:lang w:val="en-US"/>
        </w:rPr>
        <w:t>has the greater</w:t>
      </w:r>
      <w:r w:rsidR="004E54E3" w:rsidRPr="00CE38A4">
        <w:rPr>
          <w:lang w:val="en-US"/>
        </w:rPr>
        <w:t xml:space="preserve"> perceived need </w:t>
      </w:r>
      <w:r w:rsidR="00971196">
        <w:rPr>
          <w:lang w:val="en-US"/>
        </w:rPr>
        <w:t xml:space="preserve">for </w:t>
      </w:r>
      <w:r w:rsidR="004E54E3" w:rsidRPr="00CE38A4">
        <w:rPr>
          <w:lang w:val="en-US"/>
        </w:rPr>
        <w:t>help</w:t>
      </w:r>
      <w:r w:rsidR="003263F3" w:rsidRPr="00AB17AB">
        <w:rPr>
          <w:lang w:val="en-US"/>
        </w:rPr>
        <w:t xml:space="preserve"> </w:t>
      </w:r>
      <w:r w:rsidR="000E6228" w:rsidRPr="00C311EC">
        <w:rPr>
          <w:lang w:val="en-US"/>
        </w:rPr>
        <w:fldChar w:fldCharType="begin"/>
      </w:r>
      <w:r w:rsidR="00181321">
        <w:rPr>
          <w:lang w:val="en-US"/>
        </w:rPr>
        <w:instrText xml:space="preserve"> ADDIN ZOTERO_ITEM CSL_CITATION {"citationID":"g3OuBsJy","properties":{"formattedCitation":"(Bazerman et al. 1994; Major and Forcey 1985)","plainCitation":"(Bazerman et al. 1994; Major and Forcey 1985)","noteIndex":0},"citationItems":[{"id":1892,"uris":["http://zotero.org/users/4606674/items/5C96IS46"],"itemData":{"id":1892,"type":"article-journal","abstract":"This paper explores a systematic inconsistency in the impact of social information on reactions to hypothetical job descriptions. When evaluating hypothetical job offers separately, individuals tend to be influenced more by social information, such as information concerning the outcomes of comparison others and procedural justice information about the job, than by their own outcome. In contrast, when making choices among multiple offers, individuals rely more on their own outcome. We argue that when individuals have only a single offer, they use the salaries of comparison others and procedural justice information concerning the job to interpret the worth of that offer because they lack an alternative referent. However, when they have multiple offers, they can easily compare their own outcomes across offers and thus rely less on comparison others and procedural justice information. In Study 1, we examined the relative importance of absolute salary versus relative salary (difference in salary from comparison others) in hypothetical job choices. Subjects exhibited greater concern for relative salary when evaluating single job offers than when evaluating multiple job offers simultaneously. In Study 2, we examined the relative importance of absolute salary versus procedural justice in hypothetical job choices. Subjects exhibited a greater concern for procedural justice when evaluating single job offers than when evaluating multiple job offers simultaneously.","container-title":"Organizational Behavior and Human Decision Processes","DOI":"10.1006/obhd.1994.1088","ISSN":"0749-5978","issue":"3","journalAbbreviation":"Organizational Behavior and Human Decision Processes","language":"en","page":"326-352","source":"ScienceDirect","title":"The Inconsistent Role of Comparison Others and Procedural Justice in Reactions to Hypothetical Job Descriptions: Implications for Job Acceptance Decisions","title-short":"The Inconsistent Role of Comparison Others and Procedural Justice in Reactions to Hypothetical Job Descriptions","volume":"60","author":[{"family":"Bazerman","given":"Max H."},{"family":"Schroth","given":"Holly A."},{"family":"Shah","given":"Pri Pradhan"},{"family":"Diekmann","given":"Kristina A."},{"family":"Tenbrunsel","given":"Ann E."}],"issued":{"date-parts":[["1994",12,1]]}},"label":"page"},{"id":2579,"uris":["http://zotero.org/users/4606674/items/TZWQJ9ZM"],"itemData":{"id":2579,"type":"article-journal","abstract":"This research examined women's and men's social comparison preferences when evaluating the fairness of pay. Subjects were assigned randomly to work on a job described as masculine, feminine, or sex neutral and were told that they would be paid for their work. After working on the job and privately receiving identical payment, subjects rank ordered their preference for seeing the average male, average female, and average combined-sex wage paid in each of the three jobs. Despite the availability of the combined-sex wage, subjects preferred to maximize similarity in their wage comparisons, with the majority choosing to see the pay of a same-sex and same-job group first. Regardless of the sex linkage of their job assignment, subjects selected a same-job comparison first. Sex linkage of job did affect same-sex preferences; whereas subjects in sex-appropriate and sex-neutral jobs showed a significant preference for seeing the pay of same-sex others first, subjects in sex-inappropriate jobs did not. Results also indicated that both men and women assigned to the feminine job expected somewhat less pay and thought their obtained pay was more fair than did those assigned to the masculine job. Furthermore, women thought they deserved less pay for their work than did men, regardless of their job assignment. Implications of these results for gender differences in outcome evaluations are discussed.","container-title":"Journal of Experimental Social Psychology","DOI":"10.1016/0022-1031(85)90038-1","ISSN":"0022-1031","issue":"4","journalAbbreviation":"Journal of Experimental Social Psychology","language":"en","page":"393-405","source":"ScienceDirect","title":"Social Comparisons and Pay Evaluations: Preferences for Same-Sex and Same-Job Wage Comparisons","title-short":"Social Comparisons and Pay Evaluations","volume":"21","author":[{"family":"Major","given":"Brenda"},{"family":"Forcey","given":"Blythe"}],"issued":{"date-parts":[["1985",7,1]]}},"label":"page"}],"schema":"https://github.com/citation-style-language/schema/raw/master/csl-citation.json"} </w:instrText>
      </w:r>
      <w:r w:rsidR="000E6228" w:rsidRPr="00C311EC">
        <w:rPr>
          <w:lang w:val="en-US"/>
        </w:rPr>
        <w:fldChar w:fldCharType="separate"/>
      </w:r>
      <w:r w:rsidR="00BA739B" w:rsidRPr="00AB17AB">
        <w:rPr>
          <w:rFonts w:ascii="Times New Roman" w:hAnsi="Times New Roman"/>
          <w:lang w:val="en-US"/>
        </w:rPr>
        <w:t>(Bazerman et al. 1994; Major and Forcey 1985)</w:t>
      </w:r>
      <w:r w:rsidR="000E6228" w:rsidRPr="00C311EC">
        <w:rPr>
          <w:lang w:val="en-US"/>
        </w:rPr>
        <w:fldChar w:fldCharType="end"/>
      </w:r>
      <w:r w:rsidR="000E6228" w:rsidRPr="00AB17AB">
        <w:rPr>
          <w:lang w:val="en-US"/>
        </w:rPr>
        <w:t>.</w:t>
      </w:r>
      <w:r w:rsidR="00767BFB" w:rsidRPr="00D16B79">
        <w:rPr>
          <w:lang w:val="en-US"/>
        </w:rPr>
        <w:t xml:space="preserve"> </w:t>
      </w:r>
      <w:r w:rsidR="001A132E">
        <w:rPr>
          <w:lang w:val="en-US"/>
        </w:rPr>
        <w:t>We dub this the “closing-the-gap” effect.</w:t>
      </w:r>
      <w:r w:rsidR="007A62E0">
        <w:rPr>
          <w:lang w:val="en-US"/>
        </w:rPr>
        <w:t xml:space="preserve"> </w:t>
      </w:r>
    </w:p>
    <w:p w14:paraId="78AC1299" w14:textId="16145E5E" w:rsidR="007E46AE" w:rsidRPr="00D16B79" w:rsidRDefault="00387428" w:rsidP="002F0430">
      <w:pPr>
        <w:spacing w:line="480" w:lineRule="auto"/>
        <w:ind w:firstLine="720"/>
        <w:rPr>
          <w:lang w:val="en-US"/>
        </w:rPr>
      </w:pPr>
      <w:r w:rsidRPr="00D16B79">
        <w:rPr>
          <w:lang w:val="en-US"/>
        </w:rPr>
        <w:t>In sum, w</w:t>
      </w:r>
      <w:r w:rsidR="000E6228" w:rsidRPr="00D16B79">
        <w:rPr>
          <w:lang w:val="en-US"/>
        </w:rPr>
        <w:t xml:space="preserve">e argue that </w:t>
      </w:r>
      <w:r w:rsidR="00B42189" w:rsidRPr="00D16B79">
        <w:rPr>
          <w:lang w:val="en-US"/>
        </w:rPr>
        <w:t>joint evaluation substantially alter</w:t>
      </w:r>
      <w:r w:rsidR="002F0430">
        <w:rPr>
          <w:lang w:val="en-US"/>
        </w:rPr>
        <w:t>s</w:t>
      </w:r>
      <w:r w:rsidR="00B42189" w:rsidRPr="00D16B79">
        <w:rPr>
          <w:lang w:val="en-US"/>
        </w:rPr>
        <w:t xml:space="preserve"> consumers’ decision making</w:t>
      </w:r>
      <w:r w:rsidR="00FA6A0F" w:rsidRPr="00D16B79">
        <w:rPr>
          <w:lang w:val="en-US"/>
        </w:rPr>
        <w:t xml:space="preserve"> in charitable giving contexts</w:t>
      </w:r>
      <w:r w:rsidR="00305E04" w:rsidRPr="00D16B79">
        <w:rPr>
          <w:lang w:val="en-US"/>
        </w:rPr>
        <w:t>,</w:t>
      </w:r>
      <w:r w:rsidR="00B42189" w:rsidRPr="00D16B79">
        <w:rPr>
          <w:lang w:val="en-US"/>
        </w:rPr>
        <w:t xml:space="preserve"> as </w:t>
      </w:r>
      <w:r w:rsidR="00CB15BD" w:rsidRPr="00D16B79">
        <w:rPr>
          <w:lang w:val="en-US"/>
        </w:rPr>
        <w:t>it</w:t>
      </w:r>
      <w:r w:rsidR="000E6228" w:rsidRPr="00D16B79">
        <w:rPr>
          <w:lang w:val="en-US"/>
        </w:rPr>
        <w:t xml:space="preserve"> make</w:t>
      </w:r>
      <w:r w:rsidR="00CB15BD" w:rsidRPr="00D16B79">
        <w:rPr>
          <w:lang w:val="en-US"/>
        </w:rPr>
        <w:t>s</w:t>
      </w:r>
      <w:r w:rsidR="000E6228" w:rsidRPr="00D16B79">
        <w:rPr>
          <w:lang w:val="en-US"/>
        </w:rPr>
        <w:t xml:space="preserve"> </w:t>
      </w:r>
      <w:r w:rsidR="00817C87" w:rsidRPr="00CA092A">
        <w:rPr>
          <w:lang w:val="en-US"/>
        </w:rPr>
        <w:t>relative</w:t>
      </w:r>
      <w:r w:rsidR="00ED5C63" w:rsidRPr="00CA092A">
        <w:rPr>
          <w:lang w:val="en-US"/>
        </w:rPr>
        <w:t xml:space="preserve"> </w:t>
      </w:r>
      <w:r w:rsidR="000E6228" w:rsidRPr="00CA092A">
        <w:rPr>
          <w:lang w:val="en-US"/>
        </w:rPr>
        <w:t>need</w:t>
      </w:r>
      <w:r w:rsidR="00E52061" w:rsidRPr="00CA092A">
        <w:rPr>
          <w:lang w:val="en-US"/>
        </w:rPr>
        <w:t xml:space="preserve"> </w:t>
      </w:r>
      <w:r w:rsidR="002F6E57" w:rsidRPr="00CA092A">
        <w:rPr>
          <w:lang w:val="en-US"/>
        </w:rPr>
        <w:t>for help</w:t>
      </w:r>
      <w:r w:rsidR="006F6CB1" w:rsidRPr="00CA092A">
        <w:rPr>
          <w:lang w:val="en-US"/>
        </w:rPr>
        <w:t xml:space="preserve"> more salient and</w:t>
      </w:r>
      <w:r w:rsidR="002F6E57" w:rsidRPr="00CA092A">
        <w:rPr>
          <w:lang w:val="en-US"/>
        </w:rPr>
        <w:t xml:space="preserve"> </w:t>
      </w:r>
      <w:r w:rsidR="004E54E3" w:rsidRPr="00CA092A">
        <w:rPr>
          <w:lang w:val="en-US"/>
        </w:rPr>
        <w:t>easier to</w:t>
      </w:r>
      <w:r w:rsidR="003F62CA" w:rsidRPr="00CA092A">
        <w:rPr>
          <w:lang w:val="en-US"/>
        </w:rPr>
        <w:t xml:space="preserve"> evalua</w:t>
      </w:r>
      <w:r w:rsidR="004E54E3" w:rsidRPr="00CA092A">
        <w:rPr>
          <w:lang w:val="en-US"/>
        </w:rPr>
        <w:t>te</w:t>
      </w:r>
      <w:r w:rsidR="002A5F86" w:rsidRPr="00CA092A">
        <w:rPr>
          <w:lang w:val="en-US"/>
        </w:rPr>
        <w:t>.</w:t>
      </w:r>
      <w:r w:rsidR="002A5F86" w:rsidRPr="00D16B79">
        <w:rPr>
          <w:lang w:val="en-US"/>
        </w:rPr>
        <w:t xml:space="preserve"> Thus, we predict that </w:t>
      </w:r>
      <w:r w:rsidR="00445B25" w:rsidRPr="00D16B79">
        <w:rPr>
          <w:lang w:val="en-US"/>
        </w:rPr>
        <w:t xml:space="preserve">evaluation mode will moderate </w:t>
      </w:r>
      <w:r w:rsidR="00E52061" w:rsidRPr="00D16B79">
        <w:rPr>
          <w:lang w:val="en-US"/>
        </w:rPr>
        <w:t xml:space="preserve">the effect of goal progress on </w:t>
      </w:r>
      <w:r w:rsidR="00445B25" w:rsidRPr="00D16B79">
        <w:rPr>
          <w:lang w:val="en-US"/>
        </w:rPr>
        <w:t xml:space="preserve">donations </w:t>
      </w:r>
      <w:r w:rsidR="00420E8A" w:rsidRPr="00D16B79">
        <w:rPr>
          <w:lang w:val="en-US"/>
        </w:rPr>
        <w:t>such that joint evaluation will shift donations away from the charity that is closer to its goal</w:t>
      </w:r>
      <w:r w:rsidR="00E52061" w:rsidRPr="00D16B79">
        <w:rPr>
          <w:lang w:val="en-US"/>
        </w:rPr>
        <w:t xml:space="preserve"> (i.e., lower need</w:t>
      </w:r>
      <w:r w:rsidR="00BE5FD5">
        <w:rPr>
          <w:lang w:val="en-US"/>
        </w:rPr>
        <w:t xml:space="preserve"> for help</w:t>
      </w:r>
      <w:r w:rsidR="00E52061" w:rsidRPr="00D16B79">
        <w:rPr>
          <w:lang w:val="en-US"/>
        </w:rPr>
        <w:t>)</w:t>
      </w:r>
      <w:r w:rsidR="00420E8A" w:rsidRPr="00D16B79">
        <w:rPr>
          <w:lang w:val="en-US"/>
        </w:rPr>
        <w:t xml:space="preserve"> and towards the charity that is </w:t>
      </w:r>
      <w:r w:rsidR="003C404E" w:rsidRPr="00D16B79">
        <w:rPr>
          <w:lang w:val="en-US"/>
        </w:rPr>
        <w:t>farther</w:t>
      </w:r>
      <w:r w:rsidR="00420E8A" w:rsidRPr="00D16B79">
        <w:rPr>
          <w:lang w:val="en-US"/>
        </w:rPr>
        <w:t xml:space="preserve"> from its goal</w:t>
      </w:r>
      <w:r w:rsidR="00E52061" w:rsidRPr="00D16B79">
        <w:rPr>
          <w:lang w:val="en-US"/>
        </w:rPr>
        <w:t xml:space="preserve"> (i.e., higher need</w:t>
      </w:r>
      <w:r w:rsidR="00BE5FD5">
        <w:rPr>
          <w:lang w:val="en-US"/>
        </w:rPr>
        <w:t xml:space="preserve"> for help</w:t>
      </w:r>
      <w:r w:rsidR="00E52061" w:rsidRPr="00D16B79">
        <w:rPr>
          <w:lang w:val="en-US"/>
        </w:rPr>
        <w:t>)</w:t>
      </w:r>
      <w:r w:rsidR="00420E8A" w:rsidRPr="00D16B79">
        <w:rPr>
          <w:lang w:val="en-US"/>
        </w:rPr>
        <w:t xml:space="preserve">. </w:t>
      </w:r>
      <w:r w:rsidR="007E46AE" w:rsidRPr="00D16B79">
        <w:rPr>
          <w:lang w:val="en-US"/>
        </w:rPr>
        <w:t xml:space="preserve">More formally: </w:t>
      </w:r>
    </w:p>
    <w:p w14:paraId="7C52638D" w14:textId="71DC9432" w:rsidR="007E46AE" w:rsidRDefault="007E46AE" w:rsidP="007E46AE">
      <w:pPr>
        <w:spacing w:line="480" w:lineRule="auto"/>
        <w:ind w:left="720"/>
        <w:rPr>
          <w:lang w:val="en-US"/>
        </w:rPr>
      </w:pPr>
      <w:r w:rsidRPr="00D16B79">
        <w:rPr>
          <w:b/>
          <w:bCs/>
          <w:lang w:val="en-US"/>
        </w:rPr>
        <w:t>H1:</w:t>
      </w:r>
      <w:r w:rsidRPr="00D16B79">
        <w:rPr>
          <w:lang w:val="en-US"/>
        </w:rPr>
        <w:t xml:space="preserve"> Evaluation mode influences donations to charities such that compared to separate evaluation, joint evaluation results in greater giving to charities farther from their goal. </w:t>
      </w:r>
    </w:p>
    <w:p w14:paraId="264AB231" w14:textId="77777777" w:rsidR="00971196" w:rsidRDefault="00971196" w:rsidP="00971196">
      <w:pPr>
        <w:spacing w:line="480" w:lineRule="auto"/>
        <w:ind w:left="720"/>
        <w:rPr>
          <w:lang w:val="en-US"/>
        </w:rPr>
      </w:pPr>
      <w:r w:rsidRPr="00D16B79">
        <w:rPr>
          <w:b/>
          <w:bCs/>
          <w:lang w:val="en-US"/>
        </w:rPr>
        <w:t>H2:</w:t>
      </w:r>
      <w:r w:rsidRPr="00D16B79">
        <w:rPr>
          <w:lang w:val="en-US"/>
        </w:rPr>
        <w:t xml:space="preserve"> Perceptions of </w:t>
      </w:r>
      <w:r w:rsidRPr="00CA092A">
        <w:rPr>
          <w:lang w:val="en-US"/>
        </w:rPr>
        <w:t>need for help</w:t>
      </w:r>
      <w:r>
        <w:rPr>
          <w:lang w:val="en-US"/>
        </w:rPr>
        <w:t xml:space="preserve"> </w:t>
      </w:r>
      <w:r w:rsidRPr="00D16B79">
        <w:rPr>
          <w:lang w:val="en-US"/>
        </w:rPr>
        <w:t>mediate the relationship between relative distance from goal and donations to charity.</w:t>
      </w:r>
    </w:p>
    <w:p w14:paraId="2C008495" w14:textId="589F3C80" w:rsidR="001972AC" w:rsidRPr="00D16B79" w:rsidRDefault="003117F2" w:rsidP="00F55739">
      <w:pPr>
        <w:pStyle w:val="Heading2"/>
      </w:pPr>
      <w:r w:rsidRPr="00D16B79">
        <w:t>The Role of Prosocial Contexts</w:t>
      </w:r>
    </w:p>
    <w:p w14:paraId="77E4051B" w14:textId="13300C2A" w:rsidR="00FD09EF" w:rsidRPr="00757369" w:rsidRDefault="00203D3F" w:rsidP="00757369">
      <w:pPr>
        <w:spacing w:line="480" w:lineRule="auto"/>
        <w:ind w:firstLine="720"/>
        <w:rPr>
          <w:lang w:val="en-US"/>
        </w:rPr>
      </w:pPr>
      <w:r>
        <w:rPr>
          <w:iCs/>
          <w:lang w:val="en-US"/>
        </w:rPr>
        <w:t>Our conceptualization proposes that the closing the gap effect emerges under conditions where consumers are sensitive to need. Sensitivity</w:t>
      </w:r>
      <w:r w:rsidR="00ED5149" w:rsidRPr="003E2E0F">
        <w:rPr>
          <w:iCs/>
          <w:lang w:val="en-US"/>
        </w:rPr>
        <w:t xml:space="preserve"> towards need for help is likely heighte</w:t>
      </w:r>
      <w:r w:rsidR="0062347E">
        <w:rPr>
          <w:iCs/>
          <w:lang w:val="en-US"/>
        </w:rPr>
        <w:t>ne</w:t>
      </w:r>
      <w:r w:rsidR="00ED5149" w:rsidRPr="003E2E0F">
        <w:rPr>
          <w:iCs/>
          <w:lang w:val="en-US"/>
        </w:rPr>
        <w:t>d in</w:t>
      </w:r>
      <w:r w:rsidR="00B76C7A">
        <w:rPr>
          <w:iCs/>
          <w:lang w:val="en-US"/>
        </w:rPr>
        <w:t xml:space="preserve"> contexts that are relatively more</w:t>
      </w:r>
      <w:r w:rsidR="00ED5149" w:rsidRPr="003E2E0F">
        <w:rPr>
          <w:iCs/>
          <w:lang w:val="en-US"/>
        </w:rPr>
        <w:t xml:space="preserve"> prosocial </w:t>
      </w:r>
      <w:r w:rsidR="00B76C7A">
        <w:rPr>
          <w:iCs/>
          <w:lang w:val="en-US"/>
        </w:rPr>
        <w:t>in nature</w:t>
      </w:r>
      <w:r w:rsidR="00EC2C4C" w:rsidRPr="003E2E0F">
        <w:rPr>
          <w:iCs/>
          <w:lang w:val="en-US"/>
        </w:rPr>
        <w:t xml:space="preserve">, where the focus is more on helping others as </w:t>
      </w:r>
      <w:r w:rsidR="00EC2C4C" w:rsidRPr="003E2E0F">
        <w:rPr>
          <w:iCs/>
          <w:lang w:val="en-US"/>
        </w:rPr>
        <w:lastRenderedPageBreak/>
        <w:t xml:space="preserve">opposed to </w:t>
      </w:r>
      <w:r w:rsidR="00AB17AB">
        <w:rPr>
          <w:iCs/>
          <w:lang w:val="en-US"/>
        </w:rPr>
        <w:t>generating</w:t>
      </w:r>
      <w:r w:rsidR="00EC2C4C" w:rsidRPr="003E2E0F">
        <w:rPr>
          <w:iCs/>
          <w:lang w:val="en-US"/>
        </w:rPr>
        <w:t xml:space="preserve"> profit</w:t>
      </w:r>
      <w:r w:rsidR="00AB17AB">
        <w:rPr>
          <w:iCs/>
          <w:lang w:val="en-US"/>
        </w:rPr>
        <w:t xml:space="preserve">. </w:t>
      </w:r>
      <w:r w:rsidR="00A8793F">
        <w:rPr>
          <w:lang w:val="en-US"/>
        </w:rPr>
        <w:t>We propose</w:t>
      </w:r>
      <w:r w:rsidR="009A7147">
        <w:rPr>
          <w:lang w:val="en-US"/>
        </w:rPr>
        <w:t xml:space="preserve"> that </w:t>
      </w:r>
      <w:r w:rsidR="000B3AC5">
        <w:rPr>
          <w:lang w:val="en-US"/>
        </w:rPr>
        <w:t>sensitivity</w:t>
      </w:r>
      <w:r w:rsidR="00AB17AB" w:rsidRPr="000B3AC5">
        <w:rPr>
          <w:lang w:val="en-US"/>
        </w:rPr>
        <w:t xml:space="preserve"> to need </w:t>
      </w:r>
      <w:r w:rsidR="000B3AC5">
        <w:rPr>
          <w:lang w:val="en-US"/>
        </w:rPr>
        <w:t xml:space="preserve">for help </w:t>
      </w:r>
      <w:r w:rsidR="001A132E">
        <w:rPr>
          <w:lang w:val="en-US"/>
        </w:rPr>
        <w:t>is</w:t>
      </w:r>
      <w:r w:rsidR="001A132E" w:rsidRPr="000B3AC5">
        <w:rPr>
          <w:lang w:val="en-US"/>
        </w:rPr>
        <w:t xml:space="preserve"> </w:t>
      </w:r>
      <w:r w:rsidR="00AB17AB" w:rsidRPr="000B3AC5">
        <w:rPr>
          <w:lang w:val="en-US"/>
        </w:rPr>
        <w:t>likely</w:t>
      </w:r>
      <w:r w:rsidR="00AB17AB">
        <w:rPr>
          <w:lang w:val="en-US"/>
        </w:rPr>
        <w:t xml:space="preserve"> more pronounced in prosocial contexts</w:t>
      </w:r>
      <w:r w:rsidR="00A65AB9">
        <w:rPr>
          <w:lang w:val="en-US"/>
        </w:rPr>
        <w:t>, such as charitable giving,</w:t>
      </w:r>
      <w:r w:rsidR="00441EED">
        <w:rPr>
          <w:lang w:val="en-US"/>
        </w:rPr>
        <w:t xml:space="preserve"> </w:t>
      </w:r>
      <w:r w:rsidR="00342D76">
        <w:rPr>
          <w:lang w:val="en-US"/>
        </w:rPr>
        <w:t>where</w:t>
      </w:r>
      <w:r w:rsidR="00441EED">
        <w:rPr>
          <w:lang w:val="en-US"/>
        </w:rPr>
        <w:t xml:space="preserve"> consumers are focused on </w:t>
      </w:r>
      <w:r w:rsidR="0056237B">
        <w:rPr>
          <w:lang w:val="en-US"/>
        </w:rPr>
        <w:t>benefits to oth</w:t>
      </w:r>
      <w:r w:rsidR="00CA21D2">
        <w:rPr>
          <w:lang w:val="en-US"/>
        </w:rPr>
        <w:t>e</w:t>
      </w:r>
      <w:r w:rsidR="0056237B">
        <w:rPr>
          <w:lang w:val="en-US"/>
        </w:rPr>
        <w:t>rs</w:t>
      </w:r>
      <w:r w:rsidR="00AB17AB">
        <w:rPr>
          <w:lang w:val="en-US"/>
        </w:rPr>
        <w:t xml:space="preserve"> </w:t>
      </w:r>
      <w:r w:rsidR="00441EED">
        <w:rPr>
          <w:lang w:val="en-US"/>
        </w:rPr>
        <w:fldChar w:fldCharType="begin"/>
      </w:r>
      <w:r w:rsidR="00181321">
        <w:rPr>
          <w:lang w:val="en-US"/>
        </w:rPr>
        <w:instrText xml:space="preserve"> ADDIN ZOTERO_ITEM CSL_CITATION {"citationID":"sfZRa0YI","properties":{"formattedCitation":"(Bhattacharjee, Dana, and Baron 2017)","plainCitation":"(Bhattacharjee, Dana, and Baron 2017)","noteIndex":0},"citationItems":[{"id":14826,"uris":["http://zotero.org/users/4606674/items/LT386RVI"],"itemData":{"id":14826,"type":"article-journal","abstract":"Profit-seeking firms are stereotypically depicted as immoral and harmful to society. At the same time, profit-driven enterprise has contributed immensely to human prosperity. Though scholars agree that profit can incentivize societally beneficial behaviors, people may neglect this possibility. In 7 studies, we show that people see business profit as necessarily in conflict with social good, a view we call anti-profit beliefs. Studies 1 and 2 demonstrate that U.S. participants hold anti-profit views of real U.S. firms and industries. Study 3 shows that hypothetical organizations are seen as doing more harm when they are labeled \"for-profit\" rather than \"non-profit,\" while Study 4 shows that increasing harm to society is viewed as a strategy for increasing a hypothetical firm's long-run profitability. Studies 5-7 demonstrate that carefully prompting subjects to consider the long run incentives of profit can attenuate anti-profit beliefs, while prompting short run thinking does nothing relative to a control. Together, these results suggest that the default view of profits is zero-sum. While people readily grasp how profit can incentivize firms to engage in practices that harm others, they neglect how it can incentivize firms to engage in practices that benefit others. Accordingly, people's stereotypes of profit-seeking firms are excessively negative. Even in one of the most market-oriented societies in history, people doubt the contributions of profit-seeking industry to societal progress. (PsycINFO Database Record","container-title":"Journal of Personality and Social Psychology","DOI":"10.1037/pspa0000093","ISSN":"1939-1315","issue":"5","journalAbbreviation":"J Pers Soc Psychol","language":"eng","note":"PMID: 28726437","page":"671-696","source":"PubMed","title":"Anti-profit beliefs: How people neglect the societal benefits of profit","title-short":"Anti-profit beliefs","volume":"113","author":[{"family":"Bhattacharjee","given":"Amit"},{"family":"Dana","given":"Jason"},{"family":"Baron","given":"Jonathan"}],"issued":{"date-parts":[["2017",11]]}}}],"schema":"https://github.com/citation-style-language/schema/raw/master/csl-citation.json"} </w:instrText>
      </w:r>
      <w:r w:rsidR="00441EED">
        <w:rPr>
          <w:lang w:val="en-US"/>
        </w:rPr>
        <w:fldChar w:fldCharType="separate"/>
      </w:r>
      <w:r w:rsidR="00441EED" w:rsidRPr="00441EED">
        <w:rPr>
          <w:rFonts w:ascii="Times New Roman" w:hAnsi="Times New Roman"/>
        </w:rPr>
        <w:t>(Bhattacharjee, Dana, and Baron 2017)</w:t>
      </w:r>
      <w:r w:rsidR="00441EED">
        <w:rPr>
          <w:lang w:val="en-US"/>
        </w:rPr>
        <w:fldChar w:fldCharType="end"/>
      </w:r>
      <w:r w:rsidR="00AB17AB">
        <w:rPr>
          <w:lang w:val="en-US"/>
        </w:rPr>
        <w:t>. In support of this proposition</w:t>
      </w:r>
      <w:r w:rsidR="00757369" w:rsidRPr="00AB17AB">
        <w:rPr>
          <w:lang w:val="en-US"/>
        </w:rPr>
        <w:t xml:space="preserve">, </w:t>
      </w:r>
      <w:r w:rsidR="00AB17AB">
        <w:rPr>
          <w:lang w:val="en-US"/>
        </w:rPr>
        <w:t xml:space="preserve">research demonstrates </w:t>
      </w:r>
      <w:r w:rsidR="00AB17AB" w:rsidRPr="00AE1656">
        <w:rPr>
          <w:lang w:val="en-US"/>
        </w:rPr>
        <w:t xml:space="preserve">that </w:t>
      </w:r>
      <w:r w:rsidR="00757369" w:rsidRPr="00AE1656">
        <w:rPr>
          <w:lang w:val="en-US"/>
        </w:rPr>
        <w:t xml:space="preserve">helping those in need is a core moral rationale for engaging in charitable giving </w:t>
      </w:r>
      <w:r w:rsidR="00757369" w:rsidRPr="00C311EC">
        <w:rPr>
          <w:lang w:val="en-US"/>
        </w:rPr>
        <w:fldChar w:fldCharType="begin"/>
      </w:r>
      <w:r w:rsidR="00181321">
        <w:rPr>
          <w:lang w:val="en-US"/>
        </w:rPr>
        <w:instrText xml:space="preserve"> ADDIN ZOTERO_ITEM CSL_CITATION {"citationID":"ujWjANXj","properties":{"formattedCitation":"(Cryder, Botti, and Simonyan 2017)","plainCitation":"(Cryder, Botti, and Simonyan 2017)","noteIndex":0},"citationItems":[{"id":1162,"uris":["http://zotero.org/users/4606674/items/VBTKHT6B"],"itemData":{"id":1162,"type":"article-journal","abstract":"Despite widespread conviction that neediness should be a top priority for charitable giving, this research documents a \"charity beauty premium\" in which donors often choose beautiful, but less needy, charity recipients instead. The authors propose that donors hold simultaneous yet incongruent preferences of wanting to support beautiful recipients (who tend to be judged as less needy), but believing they should support needy recipients. The authors also posit that preferences for beautiful recipients are most likely to emerge when decisions are intuitive, whereas preferences for needy recipients are most likely to emerge when decisions are deliberative. These propositions are tested in several ways. First, when a beautiful recipient is included in basic choice sets, this recipient becomes the most popular option and increases donor satisfaction. Second, heightening deliberation steers choices away from beautiful recipients and toward needier ones. Third, donors explicitly state that they \"want\" to give to beautiful recipients but \"should\" give to less beautiful, needier ones. Taken together, these findings reconcile and extend previous and sometimes conflicting results about beauty and generosity.","container-title":"Journal of Marketing Research","DOI":"10.1509/jmr.14.0658","ISSN":"0022-2437","issue":"4","journalAbbreviation":"J. Mark. Res.","language":"English","note":"WOS:000410784500007","page":"605-618","source":"Web of Science","title":"The Charity Beauty Premium: Satisfying Donors' \"Want\" Versus \"Should\" Desires","title-short":"The Charity Beauty Premium","volume":"54","author":[{"family":"Cryder","given":"Cynthia"},{"family":"Botti","given":"Simona"},{"family":"Simonyan","given":"Yvetta"}],"issued":{"date-parts":[["2017",8]]}}}],"schema":"https://github.com/citation-style-language/schema/raw/master/csl-citation.json"} </w:instrText>
      </w:r>
      <w:r w:rsidR="00757369" w:rsidRPr="00C311EC">
        <w:rPr>
          <w:lang w:val="en-US"/>
        </w:rPr>
        <w:fldChar w:fldCharType="separate"/>
      </w:r>
      <w:r w:rsidR="00757369" w:rsidRPr="00AE1656">
        <w:rPr>
          <w:rFonts w:ascii="Times New Roman" w:hAnsi="Times New Roman"/>
          <w:lang w:val="en-US"/>
        </w:rPr>
        <w:t>(Cryder, Botti, and Simonyan 2017)</w:t>
      </w:r>
      <w:r w:rsidR="00757369" w:rsidRPr="00C311EC">
        <w:rPr>
          <w:lang w:val="en-US"/>
        </w:rPr>
        <w:fldChar w:fldCharType="end"/>
      </w:r>
      <w:r w:rsidR="00063362" w:rsidRPr="00AE1656">
        <w:rPr>
          <w:lang w:val="en-US"/>
        </w:rPr>
        <w:t xml:space="preserve"> and </w:t>
      </w:r>
      <w:r w:rsidR="00AE1656" w:rsidRPr="00AE1656">
        <w:rPr>
          <w:lang w:val="en-US"/>
        </w:rPr>
        <w:t xml:space="preserve">that “need” is a </w:t>
      </w:r>
      <w:r w:rsidR="00063362" w:rsidRPr="00AE1656">
        <w:rPr>
          <w:lang w:val="en-US"/>
        </w:rPr>
        <w:t>key reason for people’s decision to donate to a charitable cause</w:t>
      </w:r>
      <w:r w:rsidR="00AE1656" w:rsidRPr="00AE1656">
        <w:rPr>
          <w:lang w:val="en-US"/>
        </w:rPr>
        <w:t xml:space="preserve"> </w:t>
      </w:r>
      <w:r w:rsidR="00441EED">
        <w:rPr>
          <w:lang w:val="en-US"/>
        </w:rPr>
        <w:fldChar w:fldCharType="begin"/>
      </w:r>
      <w:r w:rsidR="00181321">
        <w:rPr>
          <w:lang w:val="en-US"/>
        </w:rPr>
        <w:instrText xml:space="preserve"> ADDIN ZOTERO_ITEM CSL_CITATION {"citationID":"yUHl6GSq","properties":{"formattedCitation":"(Breeze 2013)","plainCitation":"(Breeze 2013)","noteIndex":0},"citationItems":[{"id":14831,"uris":["http://zotero.org/users/4606674/items/FECXCMQM"],"itemData":{"id":14831,"type":"article-journal","abstract":"The question of how donors decide which charities to support, as opposed to questions about whether to give and how much to give, has been under-researched. This article presents findings from a qualitative study of 60 committed donors in the United Kingdom and concludes that charitable decision making is primarily driven by donors’ tastes and personal background, and that inertia and path dependency also account for many of their current donation decisions. Despite subscribing to popular beliefs that charitable giving should be directed primarily to the needy, donors often support organisations that promote their own preferences, that help people with whom they feel some affinity and that support causes that relate to their own life experiences.","container-title":"Voluntary Sector Review","DOI":"10.1332/204080513X667792","ISSN":"2040-8056, 2040-8064","issue":"2","language":"en","note":"publisher: Policy Press\nsection: Voluntary Sector Review","page":"165-183","source":"bristoluniversitypressdigital.com","title":"How donors choose charities: the role of personal taste and experiences in giving decisions","title-short":"How donors choose charities","volume":"4","author":[{"family":"Breeze","given":"Beth"}],"issued":{"date-parts":[["2013",7,1]]}}}],"schema":"https://github.com/citation-style-language/schema/raw/master/csl-citation.json"} </w:instrText>
      </w:r>
      <w:r w:rsidR="00441EED">
        <w:rPr>
          <w:lang w:val="en-US"/>
        </w:rPr>
        <w:fldChar w:fldCharType="separate"/>
      </w:r>
      <w:r w:rsidR="00441EED" w:rsidRPr="00441EED">
        <w:rPr>
          <w:rFonts w:ascii="Times New Roman" w:hAnsi="Times New Roman"/>
        </w:rPr>
        <w:t>(Breeze 2013)</w:t>
      </w:r>
      <w:r w:rsidR="00441EED">
        <w:rPr>
          <w:lang w:val="en-US"/>
        </w:rPr>
        <w:fldChar w:fldCharType="end"/>
      </w:r>
      <w:r w:rsidR="00AE1656" w:rsidRPr="00AE1656">
        <w:rPr>
          <w:lang w:val="en-US"/>
        </w:rPr>
        <w:t>.</w:t>
      </w:r>
      <w:r w:rsidR="00AE1656">
        <w:rPr>
          <w:lang w:val="en-US"/>
        </w:rPr>
        <w:t xml:space="preserve"> </w:t>
      </w:r>
      <w:r w:rsidR="00432B88">
        <w:rPr>
          <w:lang w:val="en-US"/>
        </w:rPr>
        <w:t>Conversely</w:t>
      </w:r>
      <w:r w:rsidR="00AB17AB">
        <w:rPr>
          <w:lang w:val="en-US"/>
        </w:rPr>
        <w:t>, w</w:t>
      </w:r>
      <w:r w:rsidR="00135ED0" w:rsidRPr="00AB17AB">
        <w:rPr>
          <w:lang w:val="en-US"/>
        </w:rPr>
        <w:t>hen</w:t>
      </w:r>
      <w:r w:rsidR="00FD0663" w:rsidRPr="00AB17AB">
        <w:rPr>
          <w:lang w:val="en-US"/>
        </w:rPr>
        <w:t xml:space="preserve"> for-profit intentions are focal</w:t>
      </w:r>
      <w:r w:rsidR="00153021" w:rsidRPr="00AB17AB">
        <w:rPr>
          <w:lang w:val="en-US"/>
        </w:rPr>
        <w:t xml:space="preserve">, </w:t>
      </w:r>
      <w:r w:rsidR="0063573D" w:rsidRPr="00AB17AB">
        <w:rPr>
          <w:lang w:val="en-US"/>
        </w:rPr>
        <w:t xml:space="preserve">consumers </w:t>
      </w:r>
      <w:r w:rsidR="00A134C7">
        <w:rPr>
          <w:lang w:val="en-US"/>
        </w:rPr>
        <w:t xml:space="preserve">tend to </w:t>
      </w:r>
      <w:r w:rsidR="003E2E0F">
        <w:rPr>
          <w:lang w:val="en-US"/>
        </w:rPr>
        <w:t xml:space="preserve">neglect </w:t>
      </w:r>
      <w:r w:rsidR="0056237B">
        <w:rPr>
          <w:lang w:val="en-US"/>
        </w:rPr>
        <w:t>other-focused</w:t>
      </w:r>
      <w:r w:rsidR="003E2E0F">
        <w:rPr>
          <w:lang w:val="en-US"/>
        </w:rPr>
        <w:t xml:space="preserve"> benefits </w:t>
      </w:r>
      <w:r w:rsidR="003E2E0F">
        <w:rPr>
          <w:lang w:val="en-US"/>
        </w:rPr>
        <w:fldChar w:fldCharType="begin"/>
      </w:r>
      <w:r w:rsidR="00181321">
        <w:rPr>
          <w:lang w:val="en-US"/>
        </w:rPr>
        <w:instrText xml:space="preserve"> ADDIN ZOTERO_ITEM CSL_CITATION {"citationID":"Thirsxse","properties":{"formattedCitation":"(Bhattacharjee, Dana, and Baron 2017)","plainCitation":"(Bhattacharjee, Dana, and Baron 2017)","noteIndex":0},"citationItems":[{"id":14826,"uris":["http://zotero.org/users/4606674/items/LT386RVI"],"itemData":{"id":14826,"type":"article-journal","abstract":"Profit-seeking firms are stereotypically depicted as immoral and harmful to society. At the same time, profit-driven enterprise has contributed immensely to human prosperity. Though scholars agree that profit can incentivize societally beneficial behaviors, people may neglect this possibility. In 7 studies, we show that people see business profit as necessarily in conflict with social good, a view we call anti-profit beliefs. Studies 1 and 2 demonstrate that U.S. participants hold anti-profit views of real U.S. firms and industries. Study 3 shows that hypothetical organizations are seen as doing more harm when they are labeled \"for-profit\" rather than \"non-profit,\" while Study 4 shows that increasing harm to society is viewed as a strategy for increasing a hypothetical firm's long-run profitability. Studies 5-7 demonstrate that carefully prompting subjects to consider the long run incentives of profit can attenuate anti-profit beliefs, while prompting short run thinking does nothing relative to a control. Together, these results suggest that the default view of profits is zero-sum. While people readily grasp how profit can incentivize firms to engage in practices that harm others, they neglect how it can incentivize firms to engage in practices that benefit others. Accordingly, people's stereotypes of profit-seeking firms are excessively negative. Even in one of the most market-oriented societies in history, people doubt the contributions of profit-seeking industry to societal progress. (PsycINFO Database Record","container-title":"Journal of Personality and Social Psychology","DOI":"10.1037/pspa0000093","ISSN":"1939-1315","issue":"5","journalAbbreviation":"J Pers Soc Psychol","language":"eng","note":"PMID: 28726437","page":"671-696","source":"PubMed","title":"Anti-profit beliefs: How people neglect the societal benefits of profit","title-short":"Anti-profit beliefs","volume":"113","author":[{"family":"Bhattacharjee","given":"Amit"},{"family":"Dana","given":"Jason"},{"family":"Baron","given":"Jonathan"}],"issued":{"date-parts":[["2017",11]]}}}],"schema":"https://github.com/citation-style-language/schema/raw/master/csl-citation.json"} </w:instrText>
      </w:r>
      <w:r w:rsidR="003E2E0F">
        <w:rPr>
          <w:lang w:val="en-US"/>
        </w:rPr>
        <w:fldChar w:fldCharType="separate"/>
      </w:r>
      <w:r w:rsidR="003E2E0F" w:rsidRPr="003E2E0F">
        <w:rPr>
          <w:rFonts w:ascii="Times New Roman" w:hAnsi="Times New Roman"/>
        </w:rPr>
        <w:t>(Bhattacharjee, Dana, and Baron 2017)</w:t>
      </w:r>
      <w:r w:rsidR="003E2E0F">
        <w:rPr>
          <w:lang w:val="en-US"/>
        </w:rPr>
        <w:fldChar w:fldCharType="end"/>
      </w:r>
      <w:r w:rsidR="00441EED">
        <w:rPr>
          <w:lang w:val="en-US"/>
        </w:rPr>
        <w:t xml:space="preserve"> </w:t>
      </w:r>
      <w:r w:rsidR="003E2E0F">
        <w:rPr>
          <w:lang w:val="en-US"/>
        </w:rPr>
        <w:t xml:space="preserve">and </w:t>
      </w:r>
      <w:r w:rsidR="00757369" w:rsidRPr="00AB17AB">
        <w:rPr>
          <w:lang w:val="en-US"/>
        </w:rPr>
        <w:t xml:space="preserve">are </w:t>
      </w:r>
      <w:r w:rsidR="0063573D" w:rsidRPr="00AB17AB">
        <w:rPr>
          <w:lang w:val="en-US"/>
        </w:rPr>
        <w:t xml:space="preserve">less sensitive to the </w:t>
      </w:r>
      <w:r w:rsidR="00153021" w:rsidRPr="00AB17AB">
        <w:rPr>
          <w:lang w:val="en-US"/>
        </w:rPr>
        <w:t>need</w:t>
      </w:r>
      <w:r w:rsidR="0063573D" w:rsidRPr="00AB17AB">
        <w:rPr>
          <w:lang w:val="en-US"/>
        </w:rPr>
        <w:t>s of others</w:t>
      </w:r>
      <w:r w:rsidR="00AE1656">
        <w:rPr>
          <w:lang w:val="en-US"/>
        </w:rPr>
        <w:t xml:space="preserve"> </w:t>
      </w:r>
      <w:r w:rsidR="002B524D" w:rsidRPr="00C311EC">
        <w:rPr>
          <w:lang w:val="en-US"/>
        </w:rPr>
        <w:fldChar w:fldCharType="begin"/>
      </w:r>
      <w:r w:rsidR="00181321">
        <w:rPr>
          <w:lang w:val="en-US"/>
        </w:rPr>
        <w:instrText xml:space="preserve"> ADDIN ZOTERO_ITEM CSL_CITATION {"citationID":"WHi24pvG","properties":{"formattedCitation":"(Aaker, Vohs, and Mogilner 2010)","plainCitation":"(Aaker, Vohs, and Mogilner 2010)","noteIndex":0},"citationItems":[{"id":1618,"uris":["http://zotero.org/users/4606674/items/5XTRA53E"],"itemData":{"id":1618,"type":"article-journal","container-title":"Journal of Consumer Research","issue":"2","page":"224–237","source":"Google Scholar","title":"Nonprofits Are Seen as Warm and for-Profits as Competent: Firm Stereotypes Matter","title-short":"Nonprofits Are Seen as Warm and for-Profits as Competent","volume":"37","author":[{"family":"Aaker","given":"Jennifer"},{"family":"Vohs","given":"Kathleen D."},{"family":"Mogilner","given":"Cassie"}],"issued":{"date-parts":[["2010"]]}}}],"schema":"https://github.com/citation-style-language/schema/raw/master/csl-citation.json"} </w:instrText>
      </w:r>
      <w:r w:rsidR="002B524D" w:rsidRPr="00C311EC">
        <w:rPr>
          <w:lang w:val="en-US"/>
        </w:rPr>
        <w:fldChar w:fldCharType="separate"/>
      </w:r>
      <w:r w:rsidR="00441EED" w:rsidRPr="00441EED">
        <w:rPr>
          <w:rFonts w:ascii="Times New Roman" w:hAnsi="Times New Roman"/>
        </w:rPr>
        <w:t>(Aaker, Vohs, and Mogilner 2010)</w:t>
      </w:r>
      <w:r w:rsidR="002B524D" w:rsidRPr="00C311EC">
        <w:rPr>
          <w:lang w:val="en-US"/>
        </w:rPr>
        <w:fldChar w:fldCharType="end"/>
      </w:r>
      <w:r w:rsidR="00153021" w:rsidRPr="00AB17AB">
        <w:rPr>
          <w:lang w:val="en-US"/>
        </w:rPr>
        <w:t xml:space="preserve">. </w:t>
      </w:r>
      <w:r w:rsidR="00135ED0" w:rsidRPr="00AB17AB">
        <w:rPr>
          <w:lang w:val="en-US"/>
        </w:rPr>
        <w:t>Therefore</w:t>
      </w:r>
      <w:r w:rsidR="00074E6F" w:rsidRPr="00AB17AB">
        <w:rPr>
          <w:lang w:val="en-US"/>
        </w:rPr>
        <w:t xml:space="preserve">, </w:t>
      </w:r>
      <w:r w:rsidR="00FD0663" w:rsidRPr="00AB17AB">
        <w:rPr>
          <w:lang w:val="en-US"/>
        </w:rPr>
        <w:t xml:space="preserve">we propose </w:t>
      </w:r>
      <w:r w:rsidR="00135ED0" w:rsidRPr="00AB17AB">
        <w:rPr>
          <w:lang w:val="en-US"/>
        </w:rPr>
        <w:t xml:space="preserve">that </w:t>
      </w:r>
      <w:r w:rsidR="00074E6F" w:rsidRPr="00AB17AB">
        <w:rPr>
          <w:lang w:val="en-US"/>
        </w:rPr>
        <w:t>organization type (non-profit vs</w:t>
      </w:r>
      <w:r w:rsidR="000E1D6D" w:rsidRPr="00AB17AB">
        <w:rPr>
          <w:lang w:val="en-US"/>
        </w:rPr>
        <w:t>.</w:t>
      </w:r>
      <w:r w:rsidR="00074E6F" w:rsidRPr="00AB17AB">
        <w:rPr>
          <w:lang w:val="en-US"/>
        </w:rPr>
        <w:t xml:space="preserve"> for-profit) </w:t>
      </w:r>
      <w:r w:rsidR="00441EED">
        <w:rPr>
          <w:lang w:val="en-US"/>
        </w:rPr>
        <w:t>will</w:t>
      </w:r>
      <w:r w:rsidR="00FD0663" w:rsidRPr="00AB17AB">
        <w:rPr>
          <w:lang w:val="en-US"/>
        </w:rPr>
        <w:t xml:space="preserve"> </w:t>
      </w:r>
      <w:r w:rsidR="00074E6F" w:rsidRPr="00AB17AB">
        <w:rPr>
          <w:lang w:val="en-US"/>
        </w:rPr>
        <w:t>moderat</w:t>
      </w:r>
      <w:r w:rsidR="0056237B">
        <w:rPr>
          <w:lang w:val="en-US"/>
        </w:rPr>
        <w:t>e</w:t>
      </w:r>
      <w:r w:rsidR="00074E6F" w:rsidRPr="00AB17AB">
        <w:rPr>
          <w:lang w:val="en-US"/>
        </w:rPr>
        <w:t xml:space="preserve"> the effect.</w:t>
      </w:r>
      <w:r w:rsidR="00074E6F" w:rsidRPr="00D16B79">
        <w:rPr>
          <w:lang w:val="en-US"/>
        </w:rPr>
        <w:t xml:space="preserve"> </w:t>
      </w:r>
    </w:p>
    <w:p w14:paraId="2BAFC3C0" w14:textId="68F12461" w:rsidR="0094139E" w:rsidRPr="00D16B79" w:rsidRDefault="00F34679" w:rsidP="001E0542">
      <w:pPr>
        <w:spacing w:line="480" w:lineRule="auto"/>
        <w:ind w:left="720"/>
        <w:rPr>
          <w:lang w:val="en-US"/>
        </w:rPr>
      </w:pPr>
      <w:bookmarkStart w:id="3" w:name="_Hlk53784065"/>
      <w:r w:rsidRPr="00D16B79">
        <w:rPr>
          <w:b/>
          <w:lang w:val="en-US"/>
        </w:rPr>
        <w:t>H3</w:t>
      </w:r>
      <w:r w:rsidR="00B9494B" w:rsidRPr="00D16B79">
        <w:rPr>
          <w:b/>
          <w:lang w:val="en-US"/>
        </w:rPr>
        <w:t xml:space="preserve">: </w:t>
      </w:r>
      <w:r w:rsidR="0094139E" w:rsidRPr="00D16B79">
        <w:rPr>
          <w:lang w:val="en-US"/>
        </w:rPr>
        <w:t>Organization type moderate</w:t>
      </w:r>
      <w:r w:rsidR="00074E6F" w:rsidRPr="00D16B79">
        <w:rPr>
          <w:lang w:val="en-US"/>
        </w:rPr>
        <w:t>s</w:t>
      </w:r>
      <w:r w:rsidR="0094139E" w:rsidRPr="00D16B79">
        <w:rPr>
          <w:lang w:val="en-US"/>
        </w:rPr>
        <w:t xml:space="preserve"> the effect such that </w:t>
      </w:r>
      <w:r w:rsidR="0054142A" w:rsidRPr="00D16B79">
        <w:rPr>
          <w:lang w:val="en-US"/>
        </w:rPr>
        <w:t xml:space="preserve">the </w:t>
      </w:r>
      <w:r w:rsidR="00C0694C" w:rsidRPr="00D16B79">
        <w:rPr>
          <w:lang w:val="en-US"/>
        </w:rPr>
        <w:t>closing-the</w:t>
      </w:r>
      <w:r w:rsidR="0054142A" w:rsidRPr="00D16B79">
        <w:rPr>
          <w:lang w:val="en-US"/>
        </w:rPr>
        <w:t>-gap effect</w:t>
      </w:r>
      <w:r w:rsidR="00C0694C" w:rsidRPr="00D16B79">
        <w:rPr>
          <w:lang w:val="en-US"/>
        </w:rPr>
        <w:t xml:space="preserve"> </w:t>
      </w:r>
      <w:r w:rsidR="006B5A77">
        <w:rPr>
          <w:lang w:val="en-US"/>
        </w:rPr>
        <w:t>is more likely to emerge</w:t>
      </w:r>
      <w:r w:rsidR="0094139E" w:rsidRPr="00D16B79">
        <w:rPr>
          <w:lang w:val="en-US"/>
        </w:rPr>
        <w:t xml:space="preserve"> for </w:t>
      </w:r>
      <w:r w:rsidR="007B1235" w:rsidRPr="00D16B79">
        <w:rPr>
          <w:lang w:val="en-US"/>
        </w:rPr>
        <w:t xml:space="preserve">non-profit </w:t>
      </w:r>
      <w:r w:rsidR="0094139E" w:rsidRPr="00D16B79">
        <w:rPr>
          <w:lang w:val="en-US"/>
        </w:rPr>
        <w:t xml:space="preserve">charities and </w:t>
      </w:r>
      <w:r w:rsidR="00024E85">
        <w:rPr>
          <w:lang w:val="en-US"/>
        </w:rPr>
        <w:t>is</w:t>
      </w:r>
      <w:r w:rsidR="00A134C7">
        <w:rPr>
          <w:lang w:val="en-US"/>
        </w:rPr>
        <w:t xml:space="preserve"> attenuated</w:t>
      </w:r>
      <w:r w:rsidR="004D2625" w:rsidRPr="00D16B79">
        <w:rPr>
          <w:lang w:val="en-US"/>
        </w:rPr>
        <w:t xml:space="preserve"> for profit-driven </w:t>
      </w:r>
      <w:r w:rsidR="006B54BC" w:rsidRPr="00D16B79">
        <w:rPr>
          <w:lang w:val="en-US"/>
        </w:rPr>
        <w:t>businesses</w:t>
      </w:r>
      <w:r w:rsidR="0094139E" w:rsidRPr="00D16B79">
        <w:rPr>
          <w:lang w:val="en-US"/>
        </w:rPr>
        <w:t>.</w:t>
      </w:r>
    </w:p>
    <w:p w14:paraId="315F4EFD" w14:textId="1DEC87BE" w:rsidR="00BF3576" w:rsidRPr="00D16B79" w:rsidRDefault="007E71F1" w:rsidP="00F55739">
      <w:pPr>
        <w:pStyle w:val="Heading2"/>
      </w:pPr>
      <w:r w:rsidRPr="00D16B79">
        <w:t>Overview of Studies</w:t>
      </w:r>
    </w:p>
    <w:p w14:paraId="58FA482E" w14:textId="1C66450F" w:rsidR="004300AF" w:rsidRPr="00D16B79" w:rsidRDefault="00AB230D" w:rsidP="00662C88">
      <w:pPr>
        <w:spacing w:line="480" w:lineRule="auto"/>
        <w:ind w:firstLine="720"/>
        <w:rPr>
          <w:lang w:val="en-US"/>
        </w:rPr>
      </w:pPr>
      <w:r w:rsidRPr="00D16B79">
        <w:rPr>
          <w:lang w:val="en-US"/>
        </w:rPr>
        <w:t xml:space="preserve">We test the above hypotheses </w:t>
      </w:r>
      <w:r w:rsidR="00C0174E" w:rsidRPr="00D16B79">
        <w:rPr>
          <w:lang w:val="en-US"/>
        </w:rPr>
        <w:t xml:space="preserve">using a combination of </w:t>
      </w:r>
      <w:r w:rsidR="0022538F" w:rsidRPr="00D16B79">
        <w:rPr>
          <w:lang w:val="en-US"/>
        </w:rPr>
        <w:t>secondary field</w:t>
      </w:r>
      <w:r w:rsidR="00C0174E" w:rsidRPr="00D16B79">
        <w:rPr>
          <w:lang w:val="en-US"/>
        </w:rPr>
        <w:t xml:space="preserve"> data</w:t>
      </w:r>
      <w:r w:rsidR="00130A00" w:rsidRPr="00D16B79">
        <w:rPr>
          <w:lang w:val="en-US"/>
        </w:rPr>
        <w:t xml:space="preserve"> </w:t>
      </w:r>
      <w:r w:rsidR="005F2905" w:rsidRPr="00D16B79">
        <w:rPr>
          <w:lang w:val="en-US"/>
        </w:rPr>
        <w:t xml:space="preserve">and </w:t>
      </w:r>
      <w:r w:rsidR="0099076C" w:rsidRPr="00D16B79">
        <w:rPr>
          <w:lang w:val="en-US"/>
        </w:rPr>
        <w:t xml:space="preserve">six </w:t>
      </w:r>
      <w:r w:rsidR="00953AF6" w:rsidRPr="00D16B79">
        <w:rPr>
          <w:lang w:val="en-US"/>
        </w:rPr>
        <w:t>pre</w:t>
      </w:r>
      <w:r w:rsidR="005000DF" w:rsidRPr="00D16B79">
        <w:rPr>
          <w:lang w:val="en-US"/>
        </w:rPr>
        <w:t>-</w:t>
      </w:r>
      <w:r w:rsidR="00953AF6" w:rsidRPr="00D16B79">
        <w:rPr>
          <w:lang w:val="en-US"/>
        </w:rPr>
        <w:t xml:space="preserve">registered </w:t>
      </w:r>
      <w:r w:rsidR="006F4311">
        <w:rPr>
          <w:lang w:val="en-US"/>
        </w:rPr>
        <w:t>experiments</w:t>
      </w:r>
      <w:r w:rsidR="006F4311" w:rsidRPr="00D16B79">
        <w:rPr>
          <w:lang w:val="en-US"/>
        </w:rPr>
        <w:t xml:space="preserve"> </w:t>
      </w:r>
      <w:r w:rsidR="0099076C" w:rsidRPr="00D16B79">
        <w:rPr>
          <w:lang w:val="en-US"/>
        </w:rPr>
        <w:t xml:space="preserve">(plus </w:t>
      </w:r>
      <w:r w:rsidR="00E419D7" w:rsidRPr="00D16B79">
        <w:rPr>
          <w:lang w:val="en-US"/>
        </w:rPr>
        <w:t>seven</w:t>
      </w:r>
      <w:r w:rsidR="00F86AA9" w:rsidRPr="00D16B79">
        <w:rPr>
          <w:lang w:val="en-US"/>
        </w:rPr>
        <w:t xml:space="preserve"> supplementa</w:t>
      </w:r>
      <w:r w:rsidR="00953AF6" w:rsidRPr="00D16B79">
        <w:rPr>
          <w:lang w:val="en-US"/>
        </w:rPr>
        <w:t>l</w:t>
      </w:r>
      <w:r w:rsidR="00F86AA9" w:rsidRPr="00D16B79">
        <w:rPr>
          <w:lang w:val="en-US"/>
        </w:rPr>
        <w:t xml:space="preserve"> </w:t>
      </w:r>
      <w:r w:rsidR="006F4311">
        <w:rPr>
          <w:lang w:val="en-US"/>
        </w:rPr>
        <w:t>experiments</w:t>
      </w:r>
      <w:r w:rsidR="005F2905" w:rsidRPr="00D16B79">
        <w:rPr>
          <w:lang w:val="en-US"/>
        </w:rPr>
        <w:t>)</w:t>
      </w:r>
      <w:r w:rsidR="00893264" w:rsidRPr="00D16B79">
        <w:rPr>
          <w:lang w:val="en-US"/>
        </w:rPr>
        <w:t>,</w:t>
      </w:r>
      <w:r w:rsidR="00F34A38" w:rsidRPr="00D16B79">
        <w:rPr>
          <w:lang w:val="en-US"/>
        </w:rPr>
        <w:t xml:space="preserve"> summarized in </w:t>
      </w:r>
      <w:r w:rsidR="001D7605" w:rsidRPr="00D16B79">
        <w:rPr>
          <w:lang w:val="en-US"/>
        </w:rPr>
        <w:t>T</w:t>
      </w:r>
      <w:r w:rsidR="00F34A38" w:rsidRPr="00D16B79">
        <w:rPr>
          <w:lang w:val="en-US"/>
        </w:rPr>
        <w:t xml:space="preserve">able </w:t>
      </w:r>
      <w:r w:rsidR="001D7605" w:rsidRPr="00D16B79">
        <w:rPr>
          <w:lang w:val="en-US"/>
        </w:rPr>
        <w:t>1.</w:t>
      </w:r>
      <w:r w:rsidR="0092286F" w:rsidRPr="00D16B79">
        <w:rPr>
          <w:lang w:val="en-US"/>
        </w:rPr>
        <w:t xml:space="preserve"> </w:t>
      </w:r>
      <w:r w:rsidR="00845C4E" w:rsidRPr="00D16B79">
        <w:rPr>
          <w:lang w:val="en-US"/>
        </w:rPr>
        <w:t>Examples of stimuli are included in Web Appendix</w:t>
      </w:r>
      <w:r w:rsidR="00986AC1" w:rsidRPr="00D16B79">
        <w:rPr>
          <w:lang w:val="en-US"/>
        </w:rPr>
        <w:t xml:space="preserve"> A</w:t>
      </w:r>
      <w:r w:rsidR="00276F3E" w:rsidRPr="00D16B79">
        <w:rPr>
          <w:lang w:val="en-US"/>
        </w:rPr>
        <w:t xml:space="preserve">, </w:t>
      </w:r>
      <w:r w:rsidR="00845C4E" w:rsidRPr="00D16B79">
        <w:rPr>
          <w:rFonts w:ascii="Times New Roman" w:hAnsi="Times New Roman"/>
          <w:lang w:val="en-US"/>
        </w:rPr>
        <w:t xml:space="preserve">and </w:t>
      </w:r>
      <w:r w:rsidR="00074E6F" w:rsidRPr="00D16B79">
        <w:rPr>
          <w:rFonts w:ascii="Times New Roman" w:hAnsi="Times New Roman"/>
          <w:lang w:val="en-US"/>
        </w:rPr>
        <w:t xml:space="preserve">the complete </w:t>
      </w:r>
      <w:r w:rsidR="0065234A" w:rsidRPr="00D16B79">
        <w:rPr>
          <w:lang w:val="en-US"/>
        </w:rPr>
        <w:t>survey</w:t>
      </w:r>
      <w:r w:rsidR="00953AF6" w:rsidRPr="00D16B79">
        <w:rPr>
          <w:lang w:val="en-US"/>
        </w:rPr>
        <w:t xml:space="preserve"> questionnaires</w:t>
      </w:r>
      <w:r w:rsidR="00130615" w:rsidRPr="00D16B79">
        <w:rPr>
          <w:lang w:val="en-US"/>
        </w:rPr>
        <w:t xml:space="preserve">, </w:t>
      </w:r>
      <w:r w:rsidR="00116A1A" w:rsidRPr="00D16B79">
        <w:rPr>
          <w:lang w:val="en-US"/>
        </w:rPr>
        <w:t xml:space="preserve">deidentified </w:t>
      </w:r>
      <w:r w:rsidR="00130615" w:rsidRPr="00D16B79">
        <w:rPr>
          <w:lang w:val="en-US"/>
        </w:rPr>
        <w:t xml:space="preserve">data, </w:t>
      </w:r>
      <w:r w:rsidR="00116A1A" w:rsidRPr="00D16B79">
        <w:rPr>
          <w:lang w:val="en-US"/>
        </w:rPr>
        <w:t xml:space="preserve">analysis </w:t>
      </w:r>
      <w:r w:rsidR="005846CD" w:rsidRPr="00D16B79">
        <w:rPr>
          <w:lang w:val="en-US"/>
        </w:rPr>
        <w:t>code</w:t>
      </w:r>
      <w:r w:rsidR="00893264" w:rsidRPr="00D16B79">
        <w:rPr>
          <w:lang w:val="en-US"/>
        </w:rPr>
        <w:t>,</w:t>
      </w:r>
      <w:r w:rsidR="00130615" w:rsidRPr="00D16B79">
        <w:rPr>
          <w:lang w:val="en-US"/>
        </w:rPr>
        <w:t xml:space="preserve"> and pre</w:t>
      </w:r>
      <w:r w:rsidR="005000DF" w:rsidRPr="00D16B79">
        <w:rPr>
          <w:lang w:val="en-US"/>
        </w:rPr>
        <w:t>-</w:t>
      </w:r>
      <w:r w:rsidR="00130615" w:rsidRPr="00D16B79">
        <w:rPr>
          <w:lang w:val="en-US"/>
        </w:rPr>
        <w:t xml:space="preserve">registrations are </w:t>
      </w:r>
      <w:r w:rsidR="00E55B58" w:rsidRPr="00D16B79">
        <w:rPr>
          <w:lang w:val="en-US"/>
        </w:rPr>
        <w:t xml:space="preserve">available </w:t>
      </w:r>
      <w:r w:rsidR="00130615" w:rsidRPr="00D16B79">
        <w:rPr>
          <w:lang w:val="en-US"/>
        </w:rPr>
        <w:t>on OSF</w:t>
      </w:r>
      <w:r w:rsidR="007F1EF6" w:rsidRPr="00D16B79">
        <w:rPr>
          <w:lang w:val="en-US"/>
        </w:rPr>
        <w:t>:</w:t>
      </w:r>
      <w:r w:rsidR="0054624F" w:rsidRPr="00D16B79">
        <w:rPr>
          <w:lang w:val="en-US"/>
        </w:rPr>
        <w:t xml:space="preserve"> </w:t>
      </w:r>
      <w:hyperlink r:id="rId8" w:history="1">
        <w:r w:rsidR="008B0F2E" w:rsidRPr="00D16B79">
          <w:rPr>
            <w:rStyle w:val="Hyperlink"/>
            <w:rFonts w:ascii="Times New Roman" w:hAnsi="Times New Roman"/>
            <w:lang w:val="en-US"/>
          </w:rPr>
          <w:t>https://osf.io/aj7g5/?view_only=5696ce6df42d4b5f800c52cf3535c83f</w:t>
        </w:r>
      </w:hyperlink>
      <w:r w:rsidR="00845C4E" w:rsidRPr="00D16B79">
        <w:rPr>
          <w:rFonts w:ascii="Times New Roman" w:hAnsi="Times New Roman"/>
          <w:lang w:val="en-US"/>
        </w:rPr>
        <w:t>.</w:t>
      </w:r>
      <w:r w:rsidR="008865AA" w:rsidRPr="00D16B79">
        <w:rPr>
          <w:rFonts w:ascii="Times New Roman" w:hAnsi="Times New Roman"/>
          <w:lang w:val="en-US"/>
        </w:rPr>
        <w:t xml:space="preserve"> </w:t>
      </w:r>
      <w:r w:rsidR="008865AA" w:rsidRPr="00D16B79">
        <w:rPr>
          <w:lang w:val="en-US"/>
        </w:rPr>
        <w:t xml:space="preserve">In all experimental studies we aimed to recruit at least 100 participants per condition, and </w:t>
      </w:r>
      <w:r w:rsidR="00074E6F" w:rsidRPr="00D16B79">
        <w:rPr>
          <w:lang w:val="en-US"/>
        </w:rPr>
        <w:t xml:space="preserve">we </w:t>
      </w:r>
      <w:r w:rsidR="008865AA" w:rsidRPr="00D16B79">
        <w:rPr>
          <w:lang w:val="en-US"/>
        </w:rPr>
        <w:t>follow</w:t>
      </w:r>
      <w:r w:rsidR="00074E6F" w:rsidRPr="00D16B79">
        <w:rPr>
          <w:lang w:val="en-US"/>
        </w:rPr>
        <w:t>ed</w:t>
      </w:r>
      <w:r w:rsidR="008865AA" w:rsidRPr="00D16B79">
        <w:rPr>
          <w:lang w:val="en-US"/>
        </w:rPr>
        <w:t xml:space="preserve"> our pre</w:t>
      </w:r>
      <w:r w:rsidR="005000DF" w:rsidRPr="00D16B79">
        <w:rPr>
          <w:lang w:val="en-US"/>
        </w:rPr>
        <w:t>-</w:t>
      </w:r>
      <w:r w:rsidR="008865AA" w:rsidRPr="00D16B79">
        <w:rPr>
          <w:lang w:val="en-US"/>
        </w:rPr>
        <w:t xml:space="preserve">registered </w:t>
      </w:r>
      <w:r w:rsidR="00074E6F" w:rsidRPr="00D16B79">
        <w:rPr>
          <w:lang w:val="en-US"/>
        </w:rPr>
        <w:t xml:space="preserve">study </w:t>
      </w:r>
      <w:r w:rsidR="008865AA" w:rsidRPr="00D16B79">
        <w:rPr>
          <w:lang w:val="en-US"/>
        </w:rPr>
        <w:t>plan</w:t>
      </w:r>
      <w:r w:rsidR="00C549EC" w:rsidRPr="00D16B79">
        <w:rPr>
          <w:lang w:val="en-US"/>
        </w:rPr>
        <w:t>s</w:t>
      </w:r>
      <w:r w:rsidR="000237C1" w:rsidRPr="00D16B79">
        <w:rPr>
          <w:lang w:val="en-US"/>
        </w:rPr>
        <w:t xml:space="preserve"> </w:t>
      </w:r>
      <w:r w:rsidR="00FA6A0F" w:rsidRPr="00D16B79">
        <w:rPr>
          <w:lang w:val="en-US"/>
        </w:rPr>
        <w:t>regarding</w:t>
      </w:r>
      <w:r w:rsidR="000237C1" w:rsidRPr="00D16B79">
        <w:rPr>
          <w:lang w:val="en-US"/>
        </w:rPr>
        <w:t xml:space="preserve"> hypotheses, sample sizes, exclusion criteria, and data analysis</w:t>
      </w:r>
      <w:r w:rsidR="008865AA" w:rsidRPr="00D16B79">
        <w:rPr>
          <w:lang w:val="en-US"/>
        </w:rPr>
        <w:t>.</w:t>
      </w:r>
      <w:r w:rsidR="00EC3A2D" w:rsidRPr="00D16B79">
        <w:rPr>
          <w:rFonts w:ascii="Times New Roman" w:hAnsi="Times New Roman"/>
          <w:lang w:val="en-US"/>
        </w:rPr>
        <w:t xml:space="preserve"> </w:t>
      </w:r>
    </w:p>
    <w:p w14:paraId="2AAC39B0" w14:textId="27D317E9" w:rsidR="005309DE" w:rsidRPr="00D16B79" w:rsidRDefault="00247F47" w:rsidP="00A8724D">
      <w:pPr>
        <w:spacing w:line="480" w:lineRule="auto"/>
        <w:ind w:firstLine="720"/>
        <w:rPr>
          <w:lang w:val="en-US"/>
        </w:rPr>
      </w:pPr>
      <w:r w:rsidRPr="00D16B79">
        <w:rPr>
          <w:lang w:val="en-US"/>
        </w:rPr>
        <w:t xml:space="preserve">Studies 1 and 2 test the </w:t>
      </w:r>
      <w:r w:rsidR="007E5274" w:rsidRPr="00D16B79">
        <w:rPr>
          <w:lang w:val="en-US"/>
        </w:rPr>
        <w:t xml:space="preserve">basic </w:t>
      </w:r>
      <w:r w:rsidRPr="00D16B79">
        <w:rPr>
          <w:lang w:val="en-US"/>
        </w:rPr>
        <w:t>effect of evaluation mode</w:t>
      </w:r>
      <w:r w:rsidR="007E5274" w:rsidRPr="00D16B79">
        <w:rPr>
          <w:lang w:val="en-US"/>
        </w:rPr>
        <w:t xml:space="preserve"> on charitable giving</w:t>
      </w:r>
      <w:r w:rsidRPr="00D16B79">
        <w:rPr>
          <w:lang w:val="en-US"/>
        </w:rPr>
        <w:t xml:space="preserve">. We demonstrate a shift in preferences between joint and separate evaluation modes </w:t>
      </w:r>
      <w:r w:rsidR="0042687C" w:rsidRPr="00D16B79">
        <w:rPr>
          <w:lang w:val="en-US"/>
        </w:rPr>
        <w:t xml:space="preserve">for both organizational and individual fundraisers </w:t>
      </w:r>
      <w:r w:rsidRPr="00D16B79">
        <w:rPr>
          <w:lang w:val="en-US"/>
        </w:rPr>
        <w:t xml:space="preserve">in pre-registered studies with consequential </w:t>
      </w:r>
      <w:r w:rsidR="007E5274" w:rsidRPr="00D16B79">
        <w:rPr>
          <w:lang w:val="en-US"/>
        </w:rPr>
        <w:t>dependent measures</w:t>
      </w:r>
      <w:r w:rsidR="00986AC1" w:rsidRPr="00D16B79">
        <w:rPr>
          <w:lang w:val="en-US"/>
        </w:rPr>
        <w:t xml:space="preserve"> using lotteries for participants</w:t>
      </w:r>
      <w:r w:rsidR="00326DFF" w:rsidRPr="00D16B79">
        <w:rPr>
          <w:lang w:val="en-US"/>
        </w:rPr>
        <w:t xml:space="preserve">. Next, </w:t>
      </w:r>
      <w:r w:rsidR="00E92939" w:rsidRPr="00D16B79">
        <w:rPr>
          <w:lang w:val="en-US"/>
        </w:rPr>
        <w:t xml:space="preserve">Study 3 tests </w:t>
      </w:r>
      <w:r w:rsidR="00695D01" w:rsidRPr="00D16B79">
        <w:rPr>
          <w:lang w:val="en-US"/>
        </w:rPr>
        <w:t xml:space="preserve">the </w:t>
      </w:r>
      <w:r w:rsidR="005309DE" w:rsidRPr="00D16B79">
        <w:rPr>
          <w:lang w:val="en-US"/>
        </w:rPr>
        <w:t xml:space="preserve">robustness of the </w:t>
      </w:r>
      <w:r w:rsidR="00695D01" w:rsidRPr="00D16B79">
        <w:rPr>
          <w:lang w:val="en-US"/>
        </w:rPr>
        <w:t xml:space="preserve">effect </w:t>
      </w:r>
      <w:r w:rsidR="00FA6A0F" w:rsidRPr="00D16B79">
        <w:rPr>
          <w:lang w:val="en-US"/>
        </w:rPr>
        <w:t xml:space="preserve">in the </w:t>
      </w:r>
      <w:r w:rsidR="00FA6A0F" w:rsidRPr="00D16B79">
        <w:rPr>
          <w:lang w:val="en-US"/>
        </w:rPr>
        <w:lastRenderedPageBreak/>
        <w:t xml:space="preserve">context of presenting </w:t>
      </w:r>
      <w:r w:rsidR="00695D01" w:rsidRPr="00D16B79">
        <w:rPr>
          <w:lang w:val="en-US"/>
        </w:rPr>
        <w:t>three projects</w:t>
      </w:r>
      <w:r w:rsidR="00E92939" w:rsidRPr="00D16B79">
        <w:rPr>
          <w:lang w:val="en-US"/>
        </w:rPr>
        <w:t>.</w:t>
      </w:r>
      <w:r w:rsidR="003D77CF">
        <w:rPr>
          <w:lang w:val="en-US"/>
        </w:rPr>
        <w:t xml:space="preserve"> T</w:t>
      </w:r>
      <w:r w:rsidR="005309DE" w:rsidRPr="00D16B79">
        <w:rPr>
          <w:lang w:val="en-US"/>
        </w:rPr>
        <w:t xml:space="preserve">his </w:t>
      </w:r>
      <w:r w:rsidR="004D572A" w:rsidRPr="00D16B79">
        <w:rPr>
          <w:lang w:val="en-US"/>
        </w:rPr>
        <w:t>study</w:t>
      </w:r>
      <w:r w:rsidR="003D77CF">
        <w:rPr>
          <w:lang w:val="en-US"/>
        </w:rPr>
        <w:t xml:space="preserve"> also</w:t>
      </w:r>
      <w:r w:rsidR="004D572A" w:rsidRPr="00D16B79">
        <w:rPr>
          <w:lang w:val="en-US"/>
        </w:rPr>
        <w:t xml:space="preserve"> gives </w:t>
      </w:r>
      <w:r w:rsidR="005309DE" w:rsidRPr="00D16B79">
        <w:rPr>
          <w:lang w:val="en-US"/>
        </w:rPr>
        <w:t xml:space="preserve">every </w:t>
      </w:r>
      <w:r w:rsidR="004D572A" w:rsidRPr="00D16B79">
        <w:rPr>
          <w:lang w:val="en-US"/>
        </w:rPr>
        <w:t xml:space="preserve">participant a real bonus that </w:t>
      </w:r>
      <w:r w:rsidR="00FD3B20" w:rsidRPr="00D16B79">
        <w:rPr>
          <w:lang w:val="en-US"/>
        </w:rPr>
        <w:t>they</w:t>
      </w:r>
      <w:r w:rsidR="00DC4D27" w:rsidRPr="00D16B79">
        <w:rPr>
          <w:lang w:val="en-US"/>
        </w:rPr>
        <w:t xml:space="preserve"> </w:t>
      </w:r>
      <w:r w:rsidR="004D572A" w:rsidRPr="00D16B79">
        <w:rPr>
          <w:lang w:val="en-US"/>
        </w:rPr>
        <w:t>can choose to donate or keep for themselves</w:t>
      </w:r>
      <w:r w:rsidR="005309DE" w:rsidRPr="00D16B79">
        <w:rPr>
          <w:lang w:val="en-US"/>
        </w:rPr>
        <w:t>,</w:t>
      </w:r>
      <w:r w:rsidR="00986AC1" w:rsidRPr="00D16B79">
        <w:rPr>
          <w:lang w:val="en-US"/>
        </w:rPr>
        <w:t xml:space="preserve"> making this </w:t>
      </w:r>
      <w:r w:rsidR="005309DE" w:rsidRPr="00D16B79">
        <w:rPr>
          <w:lang w:val="en-US"/>
        </w:rPr>
        <w:t xml:space="preserve">choice </w:t>
      </w:r>
      <w:r w:rsidR="00986AC1" w:rsidRPr="00D16B79">
        <w:rPr>
          <w:lang w:val="en-US"/>
        </w:rPr>
        <w:t>incentive-compatible for every participant</w:t>
      </w:r>
      <w:r w:rsidR="004D572A" w:rsidRPr="00D16B79">
        <w:rPr>
          <w:lang w:val="en-US"/>
        </w:rPr>
        <w:t xml:space="preserve">. </w:t>
      </w:r>
      <w:r w:rsidR="00041CE5" w:rsidRPr="00D16B79">
        <w:rPr>
          <w:lang w:val="en-US"/>
        </w:rPr>
        <w:t xml:space="preserve">Study 4 tests the moderating role of organization type, finding that participants give more to the charity farther from its goal in joint evaluation, but not to a for-profit business farther from its goal. </w:t>
      </w:r>
      <w:r w:rsidR="005309DE" w:rsidRPr="00D16B79">
        <w:rPr>
          <w:lang w:val="en-US"/>
        </w:rPr>
        <w:t xml:space="preserve">Across all of these studies (studies 1–4) we </w:t>
      </w:r>
      <w:r w:rsidR="0097696B" w:rsidRPr="00D16B79">
        <w:rPr>
          <w:lang w:val="en-US"/>
        </w:rPr>
        <w:t>measure perceptions of need</w:t>
      </w:r>
      <w:r w:rsidR="005309DE" w:rsidRPr="00D16B79">
        <w:rPr>
          <w:lang w:val="en-US"/>
        </w:rPr>
        <w:t xml:space="preserve"> and </w:t>
      </w:r>
      <w:r w:rsidR="0097696B" w:rsidRPr="00D16B79">
        <w:rPr>
          <w:lang w:val="en-US"/>
        </w:rPr>
        <w:t xml:space="preserve">in studies 1, 2 and 4 we </w:t>
      </w:r>
      <w:r w:rsidR="005309DE" w:rsidRPr="00D16B79">
        <w:rPr>
          <w:lang w:val="en-US"/>
        </w:rPr>
        <w:t xml:space="preserve">show mediation through perceptions of need </w:t>
      </w:r>
      <w:r w:rsidR="008236CB">
        <w:rPr>
          <w:lang w:val="en-US"/>
        </w:rPr>
        <w:t xml:space="preserve">for help </w:t>
      </w:r>
      <w:r w:rsidR="005309DE" w:rsidRPr="00D16B79">
        <w:rPr>
          <w:lang w:val="en-US"/>
        </w:rPr>
        <w:t xml:space="preserve">in joint evaluation. We find that the gap in perceptions of need is larger in joint evaluation than in separate evaluation, and in Study 3 we also find that need is seen as easier to evaluate in joint evaluation. </w:t>
      </w:r>
    </w:p>
    <w:p w14:paraId="2B858986" w14:textId="78694808" w:rsidR="00D825EC" w:rsidRPr="00D16B79" w:rsidRDefault="00FD3B20" w:rsidP="00A8724D">
      <w:pPr>
        <w:spacing w:line="480" w:lineRule="auto"/>
        <w:ind w:firstLine="720"/>
        <w:rPr>
          <w:rFonts w:ascii="Times New Roman" w:eastAsia="Calibri" w:hAnsi="Times New Roman"/>
          <w:lang w:val="en-US" w:eastAsia="en-US"/>
        </w:rPr>
      </w:pPr>
      <w:r w:rsidRPr="00D16B79">
        <w:rPr>
          <w:lang w:val="en-US"/>
        </w:rPr>
        <w:t>Two</w:t>
      </w:r>
      <w:r w:rsidR="002703AB" w:rsidRPr="00D16B79">
        <w:rPr>
          <w:lang w:val="en-US"/>
        </w:rPr>
        <w:t xml:space="preserve"> additional studies</w:t>
      </w:r>
      <w:r w:rsidR="00247F47" w:rsidRPr="00D16B79">
        <w:rPr>
          <w:lang w:val="en-US"/>
        </w:rPr>
        <w:t xml:space="preserve"> (</w:t>
      </w:r>
      <w:r w:rsidR="002929AF" w:rsidRPr="00D16B79">
        <w:rPr>
          <w:lang w:val="en-US"/>
        </w:rPr>
        <w:t>Studies 5A</w:t>
      </w:r>
      <w:r w:rsidRPr="00D16B79">
        <w:rPr>
          <w:lang w:val="en-US"/>
        </w:rPr>
        <w:t xml:space="preserve"> and 5B</w:t>
      </w:r>
      <w:r w:rsidR="00247F47" w:rsidRPr="00D16B79">
        <w:rPr>
          <w:lang w:val="en-US"/>
        </w:rPr>
        <w:t xml:space="preserve">) test the </w:t>
      </w:r>
      <w:r w:rsidR="00074E6F" w:rsidRPr="00D16B79">
        <w:rPr>
          <w:lang w:val="en-US"/>
        </w:rPr>
        <w:t xml:space="preserve">robustness of the </w:t>
      </w:r>
      <w:r w:rsidR="002703AB" w:rsidRPr="00D16B79">
        <w:rPr>
          <w:lang w:val="en-US"/>
        </w:rPr>
        <w:t>effect</w:t>
      </w:r>
      <w:r w:rsidR="00BF273D" w:rsidRPr="00D16B79">
        <w:rPr>
          <w:lang w:val="en-US"/>
        </w:rPr>
        <w:t xml:space="preserve">. </w:t>
      </w:r>
      <w:r w:rsidR="00160B1E" w:rsidRPr="00D16B79">
        <w:rPr>
          <w:lang w:val="en-US"/>
        </w:rPr>
        <w:t>In Study 5A w</w:t>
      </w:r>
      <w:r w:rsidR="00BF273D" w:rsidRPr="00D16B79">
        <w:rPr>
          <w:lang w:val="en-US"/>
        </w:rPr>
        <w:t xml:space="preserve">e find </w:t>
      </w:r>
      <w:r w:rsidR="002929AF" w:rsidRPr="00D16B79">
        <w:rPr>
          <w:lang w:val="en-US"/>
        </w:rPr>
        <w:t xml:space="preserve">that </w:t>
      </w:r>
      <w:r w:rsidR="0042687C" w:rsidRPr="00D16B79">
        <w:rPr>
          <w:lang w:val="en-US"/>
        </w:rPr>
        <w:t xml:space="preserve">the </w:t>
      </w:r>
      <w:r w:rsidR="002A3E9B" w:rsidRPr="00D16B79">
        <w:rPr>
          <w:lang w:val="en-US"/>
        </w:rPr>
        <w:t>effect is attenuated</w:t>
      </w:r>
      <w:r w:rsidR="0042687C" w:rsidRPr="00D16B79">
        <w:rPr>
          <w:lang w:val="en-US"/>
        </w:rPr>
        <w:t xml:space="preserve"> when the size of the gap </w:t>
      </w:r>
      <w:r w:rsidR="004D572A" w:rsidRPr="00D16B79">
        <w:rPr>
          <w:lang w:val="en-US"/>
        </w:rPr>
        <w:t xml:space="preserve">in progress </w:t>
      </w:r>
      <w:r w:rsidR="0042687C" w:rsidRPr="00D16B79">
        <w:rPr>
          <w:lang w:val="en-US"/>
        </w:rPr>
        <w:t>becomes smaller</w:t>
      </w:r>
      <w:r w:rsidR="00160B1E" w:rsidRPr="00D16B79">
        <w:rPr>
          <w:lang w:val="en-US"/>
        </w:rPr>
        <w:t>. In Study 5B we find</w:t>
      </w:r>
      <w:r w:rsidR="00BF273D" w:rsidRPr="00D16B79">
        <w:rPr>
          <w:lang w:val="en-US"/>
        </w:rPr>
        <w:t xml:space="preserve"> that </w:t>
      </w:r>
      <w:r w:rsidR="00160B1E" w:rsidRPr="00D16B79">
        <w:rPr>
          <w:lang w:val="en-US"/>
        </w:rPr>
        <w:t>the effect</w:t>
      </w:r>
      <w:r w:rsidR="00BF273D" w:rsidRPr="00D16B79">
        <w:rPr>
          <w:lang w:val="en-US"/>
        </w:rPr>
        <w:t xml:space="preserve"> is </w:t>
      </w:r>
      <w:r w:rsidR="008F0BE9" w:rsidRPr="00D16B79">
        <w:rPr>
          <w:lang w:val="en-US"/>
        </w:rPr>
        <w:t xml:space="preserve">robust </w:t>
      </w:r>
      <w:r w:rsidR="00BF273D" w:rsidRPr="00D16B79">
        <w:rPr>
          <w:lang w:val="en-US"/>
        </w:rPr>
        <w:t>to</w:t>
      </w:r>
      <w:r w:rsidR="008F0BE9" w:rsidRPr="00D16B79">
        <w:rPr>
          <w:lang w:val="en-US"/>
        </w:rPr>
        <w:t xml:space="preserve"> participants </w:t>
      </w:r>
      <w:r w:rsidR="00BF273D" w:rsidRPr="00D16B79">
        <w:rPr>
          <w:lang w:val="en-US"/>
        </w:rPr>
        <w:t>being the</w:t>
      </w:r>
      <w:r w:rsidR="008F0BE9" w:rsidRPr="00D16B79">
        <w:rPr>
          <w:lang w:val="en-US"/>
        </w:rPr>
        <w:t xml:space="preserve"> tipping point</w:t>
      </w:r>
      <w:r w:rsidR="00986AC1" w:rsidRPr="00D16B79">
        <w:rPr>
          <w:lang w:val="en-US"/>
        </w:rPr>
        <w:t xml:space="preserve"> but that it is attenuated when rewards are contingent on completing the goal</w:t>
      </w:r>
      <w:r w:rsidR="00C071EF" w:rsidRPr="00D16B79">
        <w:rPr>
          <w:lang w:val="en-US"/>
        </w:rPr>
        <w:t>.</w:t>
      </w:r>
      <w:r w:rsidR="007340B7" w:rsidRPr="00D16B79">
        <w:rPr>
          <w:lang w:val="en-US"/>
        </w:rPr>
        <w:t xml:space="preserve"> </w:t>
      </w:r>
      <w:bookmarkEnd w:id="3"/>
      <w:r w:rsidR="00206117" w:rsidRPr="00D16B79">
        <w:rPr>
          <w:lang w:val="en-US"/>
        </w:rPr>
        <w:t xml:space="preserve">Lastly, in </w:t>
      </w:r>
      <w:r w:rsidR="00893264" w:rsidRPr="00D16B79">
        <w:rPr>
          <w:lang w:val="en-US"/>
        </w:rPr>
        <w:t>S</w:t>
      </w:r>
      <w:r w:rsidR="00206117" w:rsidRPr="00D16B79">
        <w:rPr>
          <w:lang w:val="en-US"/>
        </w:rPr>
        <w:t xml:space="preserve">tudy </w:t>
      </w:r>
      <w:r w:rsidR="00B57982" w:rsidRPr="00D16B79">
        <w:rPr>
          <w:lang w:val="en-US"/>
        </w:rPr>
        <w:t>6</w:t>
      </w:r>
      <w:r w:rsidR="00206117" w:rsidRPr="00D16B79">
        <w:rPr>
          <w:lang w:val="en-US"/>
        </w:rPr>
        <w:t xml:space="preserve"> we </w:t>
      </w:r>
      <w:r w:rsidR="00050AD5" w:rsidRPr="00D16B79">
        <w:rPr>
          <w:lang w:val="en-US"/>
        </w:rPr>
        <w:t xml:space="preserve">find evidence for </w:t>
      </w:r>
      <w:r w:rsidR="00623B2A" w:rsidRPr="00D16B79">
        <w:rPr>
          <w:lang w:val="en-US"/>
        </w:rPr>
        <w:t xml:space="preserve">the focal </w:t>
      </w:r>
      <w:r w:rsidR="00206117" w:rsidRPr="00D16B79">
        <w:rPr>
          <w:lang w:val="en-US"/>
        </w:rPr>
        <w:t xml:space="preserve">effect </w:t>
      </w:r>
      <w:r w:rsidR="00623B2A" w:rsidRPr="00D16B79">
        <w:rPr>
          <w:lang w:val="en-US"/>
        </w:rPr>
        <w:t xml:space="preserve">in </w:t>
      </w:r>
      <w:r w:rsidR="00850D2D" w:rsidRPr="00D16B79">
        <w:rPr>
          <w:lang w:val="en-US"/>
        </w:rPr>
        <w:t>secondary</w:t>
      </w:r>
      <w:r w:rsidR="00206117" w:rsidRPr="00D16B79">
        <w:rPr>
          <w:lang w:val="en-US"/>
        </w:rPr>
        <w:t xml:space="preserve"> data collected from a micro-crowdfunding site, Kiva.</w:t>
      </w:r>
      <w:r w:rsidR="00AC44CA" w:rsidRPr="00D16B79">
        <w:rPr>
          <w:lang w:val="en-US"/>
        </w:rPr>
        <w:t xml:space="preserve"> This shows generalizability of our findings </w:t>
      </w:r>
      <w:r w:rsidR="00074E6F" w:rsidRPr="00D16B79">
        <w:rPr>
          <w:lang w:val="en-US"/>
        </w:rPr>
        <w:t xml:space="preserve">to </w:t>
      </w:r>
      <w:r w:rsidR="00AC44CA" w:rsidRPr="00D16B79">
        <w:rPr>
          <w:lang w:val="en-US"/>
        </w:rPr>
        <w:t xml:space="preserve">a context with a large number of diverse charities and consequential donor decisions. </w:t>
      </w:r>
      <w:r w:rsidR="00A8724D" w:rsidRPr="00D16B79">
        <w:rPr>
          <w:lang w:val="en-US"/>
        </w:rPr>
        <w:t>Across our studies</w:t>
      </w:r>
      <w:r w:rsidR="0056237B">
        <w:rPr>
          <w:lang w:val="en-US"/>
        </w:rPr>
        <w:t>,</w:t>
      </w:r>
      <w:r w:rsidR="00A8724D" w:rsidRPr="00D16B79">
        <w:rPr>
          <w:lang w:val="en-US"/>
        </w:rPr>
        <w:t xml:space="preserve"> we enhance ecological validity in a number of ways</w:t>
      </w:r>
      <w:r w:rsidR="00E5426F">
        <w:rPr>
          <w:lang w:val="en-US"/>
        </w:rPr>
        <w:t>:</w:t>
      </w:r>
      <w:r w:rsidR="00E5426F" w:rsidRPr="00D16B79">
        <w:rPr>
          <w:lang w:val="en-US"/>
        </w:rPr>
        <w:t xml:space="preserve"> </w:t>
      </w:r>
      <w:r w:rsidR="00A8724D" w:rsidRPr="00D16B79">
        <w:rPr>
          <w:lang w:val="en-US"/>
        </w:rPr>
        <w:t xml:space="preserve">we use different charities, </w:t>
      </w:r>
      <w:r w:rsidR="00E5426F">
        <w:rPr>
          <w:lang w:val="en-US"/>
        </w:rPr>
        <w:t>different</w:t>
      </w:r>
      <w:r w:rsidR="00E5426F" w:rsidRPr="00D16B79">
        <w:rPr>
          <w:lang w:val="en-US"/>
        </w:rPr>
        <w:t xml:space="preserve"> </w:t>
      </w:r>
      <w:r w:rsidR="00A8724D" w:rsidRPr="00D16B79">
        <w:rPr>
          <w:lang w:val="en-US"/>
        </w:rPr>
        <w:t>fundraisers</w:t>
      </w:r>
      <w:r w:rsidR="00E5426F">
        <w:rPr>
          <w:lang w:val="en-US"/>
        </w:rPr>
        <w:t xml:space="preserve"> at different levels</w:t>
      </w:r>
      <w:r w:rsidR="00E94D2D" w:rsidRPr="00D16B79">
        <w:rPr>
          <w:lang w:val="en-US"/>
        </w:rPr>
        <w:t>,</w:t>
      </w:r>
      <w:r w:rsidR="00A8724D" w:rsidRPr="00D16B79">
        <w:rPr>
          <w:lang w:val="en-US"/>
        </w:rPr>
        <w:t xml:space="preserve"> and different projects from the same organization</w:t>
      </w:r>
      <w:r w:rsidR="0056237B">
        <w:rPr>
          <w:lang w:val="en-US"/>
        </w:rPr>
        <w:t>,</w:t>
      </w:r>
      <w:r w:rsidR="00A8724D" w:rsidRPr="00D16B79">
        <w:rPr>
          <w:lang w:val="en-US"/>
        </w:rPr>
        <w:t xml:space="preserve"> as well as a large dataset with</w:t>
      </w:r>
      <w:r w:rsidR="007340B7" w:rsidRPr="00D16B79">
        <w:rPr>
          <w:lang w:val="en-US"/>
        </w:rPr>
        <w:t xml:space="preserve"> over 10,000 </w:t>
      </w:r>
      <w:r w:rsidR="00A8724D" w:rsidRPr="00D16B79">
        <w:rPr>
          <w:lang w:val="en-US"/>
        </w:rPr>
        <w:t xml:space="preserve">projects from </w:t>
      </w:r>
      <w:r w:rsidR="007340B7" w:rsidRPr="00D16B79">
        <w:rPr>
          <w:lang w:val="en-US"/>
        </w:rPr>
        <w:t>various</w:t>
      </w:r>
      <w:r w:rsidR="00A8724D" w:rsidRPr="00D16B79">
        <w:rPr>
          <w:lang w:val="en-US"/>
        </w:rPr>
        <w:t xml:space="preserve"> sectors. In addition, we use a variety of dependent variables including consequential lotteries, incentive</w:t>
      </w:r>
      <w:r w:rsidR="00E94D2D" w:rsidRPr="00D16B79">
        <w:rPr>
          <w:lang w:val="en-US"/>
        </w:rPr>
        <w:t>-</w:t>
      </w:r>
      <w:r w:rsidR="00A8724D" w:rsidRPr="00D16B79">
        <w:rPr>
          <w:lang w:val="en-US"/>
        </w:rPr>
        <w:t>compatible donations from a bonus amount, and real out-of-pocket donations from users on a crowdfunding site.</w:t>
      </w:r>
    </w:p>
    <w:p w14:paraId="0F0157A3" w14:textId="15BF5320" w:rsidR="002B0C56" w:rsidRPr="00D16B79" w:rsidRDefault="006F4414" w:rsidP="00D638FF">
      <w:pPr>
        <w:autoSpaceDE w:val="0"/>
        <w:autoSpaceDN w:val="0"/>
        <w:adjustRightInd w:val="0"/>
        <w:spacing w:after="160" w:line="259" w:lineRule="auto"/>
        <w:jc w:val="center"/>
        <w:rPr>
          <w:rFonts w:ascii="Times New Roman" w:eastAsia="Calibri" w:hAnsi="Times New Roman"/>
          <w:lang w:val="en-US" w:eastAsia="en-US"/>
        </w:rPr>
      </w:pPr>
      <w:r w:rsidRPr="00D16B79">
        <w:rPr>
          <w:rFonts w:ascii="Times New Roman" w:eastAsia="Calibri" w:hAnsi="Times New Roman"/>
          <w:bCs/>
          <w:lang w:val="en-US" w:eastAsia="en-US"/>
        </w:rPr>
        <w:t>TABLE 1</w:t>
      </w:r>
      <w:r w:rsidR="00D87751" w:rsidRPr="00D16B79">
        <w:rPr>
          <w:rFonts w:ascii="Times New Roman" w:eastAsia="Calibri" w:hAnsi="Times New Roman"/>
          <w:bCs/>
          <w:lang w:val="en-US" w:eastAsia="en-US"/>
        </w:rPr>
        <w:t>:</w:t>
      </w:r>
      <w:r w:rsidR="00D87751" w:rsidRPr="00D16B79">
        <w:rPr>
          <w:rFonts w:ascii="Times New Roman" w:eastAsia="Calibri" w:hAnsi="Times New Roman"/>
          <w:b/>
          <w:bCs/>
          <w:lang w:val="en-US" w:eastAsia="en-US"/>
        </w:rPr>
        <w:t xml:space="preserve"> </w:t>
      </w:r>
      <w:r w:rsidRPr="00D16B79">
        <w:rPr>
          <w:rFonts w:ascii="Times New Roman" w:eastAsia="Calibri" w:hAnsi="Times New Roman"/>
          <w:lang w:val="en-US" w:eastAsia="en-US"/>
        </w:rPr>
        <w:t xml:space="preserve">SUMMARY OF </w:t>
      </w:r>
      <w:r w:rsidR="00E5426F">
        <w:rPr>
          <w:rFonts w:ascii="Times New Roman" w:eastAsia="Calibri" w:hAnsi="Times New Roman"/>
          <w:lang w:val="en-US" w:eastAsia="en-US"/>
        </w:rPr>
        <w:t>RESULTS</w:t>
      </w:r>
      <w:r w:rsidR="00E5426F" w:rsidRPr="00D16B79">
        <w:rPr>
          <w:rFonts w:ascii="Times New Roman" w:eastAsia="Calibri" w:hAnsi="Times New Roman"/>
          <w:lang w:val="en-US" w:eastAsia="en-US"/>
        </w:rPr>
        <w:t xml:space="preserve"> </w:t>
      </w:r>
      <w:r w:rsidRPr="00D16B79">
        <w:rPr>
          <w:rFonts w:ascii="Times New Roman" w:eastAsia="Calibri" w:hAnsi="Times New Roman"/>
          <w:lang w:val="en-US" w:eastAsia="en-US"/>
        </w:rPr>
        <w:t>BY STUDY CONDITION</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245"/>
        <w:gridCol w:w="723"/>
        <w:gridCol w:w="17"/>
        <w:gridCol w:w="222"/>
        <w:gridCol w:w="11"/>
        <w:gridCol w:w="634"/>
        <w:gridCol w:w="99"/>
        <w:gridCol w:w="131"/>
        <w:gridCol w:w="21"/>
        <w:gridCol w:w="419"/>
        <w:gridCol w:w="17"/>
        <w:gridCol w:w="96"/>
        <w:gridCol w:w="323"/>
        <w:gridCol w:w="21"/>
        <w:gridCol w:w="395"/>
        <w:gridCol w:w="18"/>
        <w:gridCol w:w="21"/>
        <w:gridCol w:w="419"/>
        <w:gridCol w:w="18"/>
        <w:gridCol w:w="78"/>
        <w:gridCol w:w="474"/>
        <w:gridCol w:w="47"/>
        <w:gridCol w:w="256"/>
        <w:gridCol w:w="20"/>
        <w:gridCol w:w="251"/>
        <w:gridCol w:w="127"/>
        <w:gridCol w:w="87"/>
        <w:gridCol w:w="370"/>
        <w:gridCol w:w="23"/>
        <w:gridCol w:w="27"/>
        <w:gridCol w:w="235"/>
        <w:gridCol w:w="449"/>
        <w:gridCol w:w="163"/>
        <w:gridCol w:w="23"/>
        <w:gridCol w:w="853"/>
        <w:gridCol w:w="17"/>
      </w:tblGrid>
      <w:tr w:rsidR="00DB1860" w:rsidRPr="00D16B79" w14:paraId="7510695C" w14:textId="77777777" w:rsidTr="00953EC7">
        <w:trPr>
          <w:gridAfter w:val="1"/>
          <w:wAfter w:w="17" w:type="dxa"/>
        </w:trPr>
        <w:tc>
          <w:tcPr>
            <w:tcW w:w="9333" w:type="dxa"/>
            <w:gridSpan w:val="35"/>
            <w:tcBorders>
              <w:bottom w:val="single" w:sz="12" w:space="0" w:color="auto"/>
            </w:tcBorders>
            <w:shd w:val="clear" w:color="auto" w:fill="FFFFFF"/>
          </w:tcPr>
          <w:p w14:paraId="3E73A1BB" w14:textId="4BB92E9D" w:rsidR="00DB1860" w:rsidRPr="00D16B79" w:rsidRDefault="00DB1860" w:rsidP="00282E83">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Mean</w:t>
            </w:r>
            <w:r w:rsidR="00E5426F">
              <w:rPr>
                <w:rFonts w:ascii="Times New Roman" w:hAnsi="Times New Roman"/>
                <w:b/>
                <w:bCs/>
                <w:sz w:val="20"/>
                <w:szCs w:val="20"/>
                <w:lang w:val="en-US"/>
              </w:rPr>
              <w:t xml:space="preserve"> </w:t>
            </w:r>
            <w:r w:rsidRPr="00D16B79">
              <w:rPr>
                <w:rFonts w:ascii="Times New Roman" w:hAnsi="Times New Roman"/>
                <w:b/>
                <w:bCs/>
                <w:sz w:val="20"/>
                <w:szCs w:val="20"/>
                <w:lang w:val="en-US"/>
              </w:rPr>
              <w:t>Funding Likelihood and Amount Across Study Conditions</w:t>
            </w:r>
          </w:p>
        </w:tc>
      </w:tr>
      <w:tr w:rsidR="00DB1860" w:rsidRPr="00025DDA" w14:paraId="79B28F8E" w14:textId="77777777" w:rsidTr="00953EC7">
        <w:trPr>
          <w:gridAfter w:val="1"/>
          <w:wAfter w:w="17" w:type="dxa"/>
        </w:trPr>
        <w:tc>
          <w:tcPr>
            <w:tcW w:w="2245" w:type="dxa"/>
            <w:tcBorders>
              <w:top w:val="single" w:sz="12" w:space="0" w:color="auto"/>
            </w:tcBorders>
          </w:tcPr>
          <w:p w14:paraId="3160E78F" w14:textId="4638330F" w:rsidR="00DB1860" w:rsidRPr="00104F25" w:rsidRDefault="00DB1860" w:rsidP="00282E83">
            <w:pPr>
              <w:autoSpaceDE w:val="0"/>
              <w:autoSpaceDN w:val="0"/>
              <w:adjustRightInd w:val="0"/>
              <w:spacing w:line="216" w:lineRule="auto"/>
              <w:rPr>
                <w:rFonts w:ascii="Times New Roman" w:hAnsi="Times New Roman"/>
                <w:b/>
                <w:bCs/>
                <w:sz w:val="20"/>
                <w:szCs w:val="20"/>
                <w:lang w:val="fr-FR"/>
              </w:rPr>
            </w:pPr>
            <w:bookmarkStart w:id="4" w:name="_Hlk132751585"/>
            <w:r w:rsidRPr="00104F25">
              <w:rPr>
                <w:rFonts w:ascii="Times New Roman" w:hAnsi="Times New Roman"/>
                <w:b/>
                <w:bCs/>
                <w:sz w:val="20"/>
                <w:szCs w:val="20"/>
                <w:lang w:val="fr-FR"/>
              </w:rPr>
              <w:t xml:space="preserve">Study </w:t>
            </w:r>
            <w:r w:rsidR="002A3E9B" w:rsidRPr="00104F25">
              <w:rPr>
                <w:rFonts w:ascii="Times New Roman" w:hAnsi="Times New Roman"/>
                <w:b/>
                <w:bCs/>
                <w:sz w:val="20"/>
                <w:szCs w:val="20"/>
                <w:lang w:val="fr-FR"/>
              </w:rPr>
              <w:t>1</w:t>
            </w:r>
            <w:r w:rsidRPr="00104F25">
              <w:rPr>
                <w:rFonts w:ascii="Times New Roman" w:hAnsi="Times New Roman"/>
                <w:b/>
                <w:bCs/>
                <w:sz w:val="20"/>
                <w:szCs w:val="20"/>
                <w:lang w:val="fr-FR"/>
              </w:rPr>
              <w:br/>
            </w:r>
            <w:r w:rsidRPr="00104F25">
              <w:rPr>
                <w:rFonts w:ascii="Times New Roman" w:hAnsi="Times New Roman"/>
                <w:i/>
                <w:iCs/>
                <w:sz w:val="20"/>
                <w:szCs w:val="20"/>
                <w:lang w:val="fr-FR"/>
              </w:rPr>
              <w:t>JE vs</w:t>
            </w:r>
            <w:r w:rsidR="002014F6" w:rsidRPr="00104F25">
              <w:rPr>
                <w:rFonts w:ascii="Times New Roman" w:hAnsi="Times New Roman"/>
                <w:i/>
                <w:iCs/>
                <w:sz w:val="20"/>
                <w:szCs w:val="20"/>
                <w:lang w:val="fr-FR"/>
              </w:rPr>
              <w:t>.</w:t>
            </w:r>
            <w:r w:rsidRPr="00104F25">
              <w:rPr>
                <w:rFonts w:ascii="Times New Roman" w:hAnsi="Times New Roman"/>
                <w:i/>
                <w:iCs/>
                <w:sz w:val="20"/>
                <w:szCs w:val="20"/>
                <w:lang w:val="fr-FR"/>
              </w:rPr>
              <w:t xml:space="preserve"> SE Charity</w:t>
            </w:r>
          </w:p>
        </w:tc>
        <w:tc>
          <w:tcPr>
            <w:tcW w:w="7088" w:type="dxa"/>
            <w:gridSpan w:val="34"/>
            <w:tcBorders>
              <w:top w:val="single" w:sz="12" w:space="0" w:color="auto"/>
            </w:tcBorders>
          </w:tcPr>
          <w:p w14:paraId="6DA03530" w14:textId="3BC69F5E" w:rsidR="00DB1860" w:rsidRPr="00D16B79" w:rsidRDefault="00DB1860" w:rsidP="00DB1860">
            <w:pPr>
              <w:numPr>
                <w:ilvl w:val="0"/>
                <w:numId w:val="2"/>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Preference shift between JE and SE</w:t>
            </w:r>
            <w:r w:rsidR="006A3530" w:rsidRPr="00D16B79">
              <w:rPr>
                <w:rFonts w:ascii="Times New Roman" w:hAnsi="Times New Roman"/>
                <w:sz w:val="20"/>
                <w:szCs w:val="20"/>
                <w:lang w:val="en-US"/>
              </w:rPr>
              <w:t xml:space="preserve"> (H1)</w:t>
            </w:r>
            <w:r w:rsidRPr="00D16B79">
              <w:rPr>
                <w:rFonts w:ascii="Times New Roman" w:hAnsi="Times New Roman"/>
                <w:sz w:val="20"/>
                <w:szCs w:val="20"/>
                <w:lang w:val="en-US"/>
              </w:rPr>
              <w:t>.</w:t>
            </w:r>
          </w:p>
          <w:p w14:paraId="51114459" w14:textId="77777777" w:rsidR="00DB1860" w:rsidRPr="00D16B79" w:rsidRDefault="00DB1860" w:rsidP="00DB1860">
            <w:pPr>
              <w:numPr>
                <w:ilvl w:val="0"/>
                <w:numId w:val="2"/>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Mediation with need in JE but not SE (H2).</w:t>
            </w:r>
          </w:p>
          <w:p w14:paraId="50ACB00E" w14:textId="77777777" w:rsidR="00DB1860" w:rsidRDefault="00DE26D1" w:rsidP="00DB1860">
            <w:pPr>
              <w:numPr>
                <w:ilvl w:val="0"/>
                <w:numId w:val="2"/>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 xml:space="preserve">DV: </w:t>
            </w:r>
            <w:r w:rsidR="00A350C0" w:rsidRPr="00D16B79">
              <w:rPr>
                <w:rFonts w:ascii="Times New Roman" w:hAnsi="Times New Roman"/>
                <w:sz w:val="20"/>
                <w:szCs w:val="20"/>
                <w:lang w:val="en-US"/>
              </w:rPr>
              <w:t xml:space="preserve">£100 lottery divided between charities. </w:t>
            </w:r>
            <w:r w:rsidR="00DB1860" w:rsidRPr="00D16B79">
              <w:rPr>
                <w:rFonts w:ascii="Times New Roman" w:hAnsi="Times New Roman"/>
                <w:sz w:val="20"/>
                <w:szCs w:val="20"/>
                <w:lang w:val="en-US"/>
              </w:rPr>
              <w:t>Pre</w:t>
            </w:r>
            <w:r w:rsidR="005000DF" w:rsidRPr="00D16B79">
              <w:rPr>
                <w:rFonts w:ascii="Times New Roman" w:hAnsi="Times New Roman"/>
                <w:sz w:val="20"/>
                <w:szCs w:val="20"/>
                <w:lang w:val="en-US"/>
              </w:rPr>
              <w:t>-</w:t>
            </w:r>
            <w:r w:rsidR="00DB1860" w:rsidRPr="00D16B79">
              <w:rPr>
                <w:rFonts w:ascii="Times New Roman" w:hAnsi="Times New Roman"/>
                <w:sz w:val="20"/>
                <w:szCs w:val="20"/>
                <w:lang w:val="en-US"/>
              </w:rPr>
              <w:t>registered.</w:t>
            </w:r>
          </w:p>
          <w:p w14:paraId="1E77EC57" w14:textId="159753BE" w:rsidR="004C1D6D" w:rsidRPr="00C32F4B" w:rsidRDefault="004C1D6D" w:rsidP="00DB1860">
            <w:pPr>
              <w:numPr>
                <w:ilvl w:val="0"/>
                <w:numId w:val="2"/>
              </w:numPr>
              <w:autoSpaceDE w:val="0"/>
              <w:autoSpaceDN w:val="0"/>
              <w:adjustRightInd w:val="0"/>
              <w:spacing w:line="216" w:lineRule="auto"/>
              <w:ind w:left="178" w:hanging="178"/>
              <w:contextualSpacing/>
              <w:rPr>
                <w:rFonts w:ascii="Times New Roman" w:hAnsi="Times New Roman"/>
                <w:sz w:val="20"/>
                <w:szCs w:val="20"/>
                <w:lang w:val="fr-FR"/>
              </w:rPr>
            </w:pPr>
            <w:r w:rsidRPr="00C32F4B">
              <w:rPr>
                <w:rFonts w:ascii="Times New Roman" w:hAnsi="Times New Roman"/>
                <w:sz w:val="20"/>
                <w:szCs w:val="20"/>
                <w:lang w:val="fr-FR"/>
              </w:rPr>
              <w:t xml:space="preserve">3 (Evaluation type: </w:t>
            </w:r>
            <w:r w:rsidR="00953EC7" w:rsidRPr="00C32F4B">
              <w:rPr>
                <w:rFonts w:ascii="Times New Roman" w:hAnsi="Times New Roman"/>
                <w:sz w:val="20"/>
                <w:szCs w:val="20"/>
                <w:lang w:val="fr-FR"/>
              </w:rPr>
              <w:t>JE vs. SE far vs. SE close</w:t>
            </w:r>
            <w:r w:rsidRPr="00C32F4B">
              <w:rPr>
                <w:rFonts w:ascii="Times New Roman" w:hAnsi="Times New Roman"/>
                <w:sz w:val="20"/>
                <w:szCs w:val="20"/>
                <w:lang w:val="fr-FR"/>
              </w:rPr>
              <w:t>)</w:t>
            </w:r>
          </w:p>
        </w:tc>
      </w:tr>
      <w:tr w:rsidR="009F08DE" w:rsidRPr="00D16B79" w14:paraId="5E87A424" w14:textId="77777777" w:rsidTr="00953EC7">
        <w:trPr>
          <w:gridAfter w:val="1"/>
          <w:wAfter w:w="17" w:type="dxa"/>
        </w:trPr>
        <w:tc>
          <w:tcPr>
            <w:tcW w:w="2245" w:type="dxa"/>
          </w:tcPr>
          <w:p w14:paraId="0FE9D253" w14:textId="77777777" w:rsidR="00DB1860" w:rsidRPr="00C32F4B" w:rsidRDefault="00DB1860" w:rsidP="00282E83">
            <w:pPr>
              <w:autoSpaceDE w:val="0"/>
              <w:autoSpaceDN w:val="0"/>
              <w:adjustRightInd w:val="0"/>
              <w:spacing w:line="216" w:lineRule="auto"/>
              <w:rPr>
                <w:rFonts w:ascii="Times New Roman" w:hAnsi="Times New Roman"/>
                <w:sz w:val="20"/>
                <w:szCs w:val="20"/>
                <w:lang w:val="fr-FR"/>
              </w:rPr>
            </w:pPr>
          </w:p>
        </w:tc>
        <w:tc>
          <w:tcPr>
            <w:tcW w:w="1607" w:type="dxa"/>
            <w:gridSpan w:val="5"/>
          </w:tcPr>
          <w:p w14:paraId="183681C9"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Close</w:t>
            </w:r>
          </w:p>
        </w:tc>
        <w:tc>
          <w:tcPr>
            <w:tcW w:w="1561" w:type="dxa"/>
            <w:gridSpan w:val="11"/>
          </w:tcPr>
          <w:p w14:paraId="7E1DC85E"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Far</w:t>
            </w:r>
          </w:p>
        </w:tc>
        <w:tc>
          <w:tcPr>
            <w:tcW w:w="1777" w:type="dxa"/>
            <w:gridSpan w:val="10"/>
          </w:tcPr>
          <w:p w14:paraId="579CC1DF"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Close</w:t>
            </w:r>
          </w:p>
        </w:tc>
        <w:tc>
          <w:tcPr>
            <w:tcW w:w="2143" w:type="dxa"/>
            <w:gridSpan w:val="8"/>
          </w:tcPr>
          <w:p w14:paraId="33C66E71"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Far</w:t>
            </w:r>
          </w:p>
        </w:tc>
      </w:tr>
      <w:tr w:rsidR="009F08DE" w:rsidRPr="00D16B79" w14:paraId="6AB1F55E" w14:textId="77777777" w:rsidTr="00953EC7">
        <w:trPr>
          <w:gridAfter w:val="1"/>
          <w:wAfter w:w="17" w:type="dxa"/>
        </w:trPr>
        <w:tc>
          <w:tcPr>
            <w:tcW w:w="2245" w:type="dxa"/>
            <w:tcBorders>
              <w:bottom w:val="single" w:sz="12" w:space="0" w:color="auto"/>
            </w:tcBorders>
          </w:tcPr>
          <w:p w14:paraId="14B0D0AC" w14:textId="77777777" w:rsidR="00DB1860" w:rsidRPr="00D16B79" w:rsidRDefault="00DB1860" w:rsidP="00282E83">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lastRenderedPageBreak/>
              <w:t>Amount</w:t>
            </w:r>
          </w:p>
        </w:tc>
        <w:tc>
          <w:tcPr>
            <w:tcW w:w="1607" w:type="dxa"/>
            <w:gridSpan w:val="5"/>
            <w:tcBorders>
              <w:bottom w:val="single" w:sz="12" w:space="0" w:color="auto"/>
            </w:tcBorders>
          </w:tcPr>
          <w:p w14:paraId="5E4216E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34.68</w:t>
            </w:r>
          </w:p>
        </w:tc>
        <w:tc>
          <w:tcPr>
            <w:tcW w:w="1561" w:type="dxa"/>
            <w:gridSpan w:val="11"/>
            <w:tcBorders>
              <w:bottom w:val="single" w:sz="12" w:space="0" w:color="auto"/>
            </w:tcBorders>
          </w:tcPr>
          <w:p w14:paraId="28763DAB"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65.32</w:t>
            </w:r>
          </w:p>
        </w:tc>
        <w:tc>
          <w:tcPr>
            <w:tcW w:w="1777" w:type="dxa"/>
            <w:gridSpan w:val="10"/>
            <w:tcBorders>
              <w:bottom w:val="single" w:sz="12" w:space="0" w:color="auto"/>
            </w:tcBorders>
          </w:tcPr>
          <w:p w14:paraId="5B288C1B"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51.18</w:t>
            </w:r>
          </w:p>
        </w:tc>
        <w:tc>
          <w:tcPr>
            <w:tcW w:w="2143" w:type="dxa"/>
            <w:gridSpan w:val="8"/>
            <w:tcBorders>
              <w:bottom w:val="single" w:sz="12" w:space="0" w:color="auto"/>
            </w:tcBorders>
          </w:tcPr>
          <w:p w14:paraId="3D93D07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55.89</w:t>
            </w:r>
          </w:p>
        </w:tc>
      </w:tr>
      <w:bookmarkEnd w:id="4"/>
      <w:tr w:rsidR="00DB1860" w:rsidRPr="00025DDA" w14:paraId="51E2700A" w14:textId="77777777" w:rsidTr="00953EC7">
        <w:trPr>
          <w:gridAfter w:val="1"/>
          <w:wAfter w:w="17" w:type="dxa"/>
        </w:trPr>
        <w:tc>
          <w:tcPr>
            <w:tcW w:w="2245" w:type="dxa"/>
            <w:tcBorders>
              <w:top w:val="single" w:sz="12" w:space="0" w:color="auto"/>
              <w:bottom w:val="single" w:sz="4" w:space="0" w:color="A5A5A5"/>
            </w:tcBorders>
          </w:tcPr>
          <w:p w14:paraId="481F0C90" w14:textId="750B9F16" w:rsidR="00DB1860" w:rsidRPr="00104F25" w:rsidRDefault="00DB1860" w:rsidP="00282E83">
            <w:pPr>
              <w:autoSpaceDE w:val="0"/>
              <w:autoSpaceDN w:val="0"/>
              <w:adjustRightInd w:val="0"/>
              <w:spacing w:line="216" w:lineRule="auto"/>
              <w:rPr>
                <w:rFonts w:ascii="Times New Roman" w:hAnsi="Times New Roman"/>
                <w:b/>
                <w:bCs/>
                <w:sz w:val="20"/>
                <w:szCs w:val="20"/>
                <w:lang w:val="fr-FR"/>
              </w:rPr>
            </w:pPr>
            <w:proofErr w:type="spellStart"/>
            <w:r w:rsidRPr="00104F25">
              <w:rPr>
                <w:rFonts w:ascii="Times New Roman" w:hAnsi="Times New Roman"/>
                <w:b/>
                <w:bCs/>
                <w:sz w:val="20"/>
                <w:szCs w:val="20"/>
                <w:lang w:val="fr-FR"/>
              </w:rPr>
              <w:t>Study</w:t>
            </w:r>
            <w:proofErr w:type="spellEnd"/>
            <w:r w:rsidRPr="00104F25">
              <w:rPr>
                <w:rFonts w:ascii="Times New Roman" w:hAnsi="Times New Roman"/>
                <w:b/>
                <w:bCs/>
                <w:sz w:val="20"/>
                <w:szCs w:val="20"/>
                <w:lang w:val="fr-FR"/>
              </w:rPr>
              <w:t xml:space="preserve"> </w:t>
            </w:r>
            <w:r w:rsidR="002A3E9B" w:rsidRPr="00104F25">
              <w:rPr>
                <w:rFonts w:ascii="Times New Roman" w:hAnsi="Times New Roman"/>
                <w:b/>
                <w:bCs/>
                <w:sz w:val="20"/>
                <w:szCs w:val="20"/>
                <w:lang w:val="fr-FR"/>
              </w:rPr>
              <w:t>2</w:t>
            </w:r>
            <w:r w:rsidRPr="00104F25">
              <w:rPr>
                <w:rFonts w:ascii="Times New Roman" w:hAnsi="Times New Roman"/>
                <w:b/>
                <w:bCs/>
                <w:sz w:val="20"/>
                <w:szCs w:val="20"/>
                <w:lang w:val="fr-FR"/>
              </w:rPr>
              <w:br/>
            </w:r>
            <w:r w:rsidRPr="00104F25">
              <w:rPr>
                <w:rFonts w:ascii="Times New Roman" w:hAnsi="Times New Roman"/>
                <w:i/>
                <w:iCs/>
                <w:sz w:val="20"/>
                <w:szCs w:val="20"/>
                <w:lang w:val="fr-FR"/>
              </w:rPr>
              <w:t>JE vs</w:t>
            </w:r>
            <w:r w:rsidR="002014F6" w:rsidRPr="00104F25">
              <w:rPr>
                <w:rFonts w:ascii="Times New Roman" w:hAnsi="Times New Roman"/>
                <w:i/>
                <w:iCs/>
                <w:sz w:val="20"/>
                <w:szCs w:val="20"/>
                <w:lang w:val="fr-FR"/>
              </w:rPr>
              <w:t>.</w:t>
            </w:r>
            <w:r w:rsidRPr="00104F25">
              <w:rPr>
                <w:rFonts w:ascii="Times New Roman" w:hAnsi="Times New Roman"/>
                <w:i/>
                <w:iCs/>
                <w:sz w:val="20"/>
                <w:szCs w:val="20"/>
                <w:lang w:val="fr-FR"/>
              </w:rPr>
              <w:t xml:space="preserve"> SE </w:t>
            </w:r>
            <w:proofErr w:type="spellStart"/>
            <w:r w:rsidRPr="00104F25">
              <w:rPr>
                <w:rFonts w:ascii="Times New Roman" w:hAnsi="Times New Roman"/>
                <w:i/>
                <w:iCs/>
                <w:sz w:val="20"/>
                <w:szCs w:val="20"/>
                <w:lang w:val="fr-FR"/>
              </w:rPr>
              <w:t>Individual</w:t>
            </w:r>
            <w:proofErr w:type="spellEnd"/>
          </w:p>
        </w:tc>
        <w:tc>
          <w:tcPr>
            <w:tcW w:w="7088" w:type="dxa"/>
            <w:gridSpan w:val="34"/>
            <w:tcBorders>
              <w:top w:val="single" w:sz="12" w:space="0" w:color="auto"/>
              <w:bottom w:val="single" w:sz="4" w:space="0" w:color="A5A5A5"/>
            </w:tcBorders>
          </w:tcPr>
          <w:p w14:paraId="6A31BBFD" w14:textId="746A8F1D" w:rsidR="00DB1860" w:rsidRPr="00D16B79" w:rsidRDefault="00DB1860" w:rsidP="00DB1860">
            <w:pPr>
              <w:numPr>
                <w:ilvl w:val="0"/>
                <w:numId w:val="3"/>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Preference shift between JE and SE (H</w:t>
            </w:r>
            <w:r w:rsidR="006A3530" w:rsidRPr="00D16B79">
              <w:rPr>
                <w:rFonts w:ascii="Times New Roman" w:hAnsi="Times New Roman"/>
                <w:sz w:val="20"/>
                <w:szCs w:val="20"/>
                <w:lang w:val="en-US"/>
              </w:rPr>
              <w:t>1</w:t>
            </w:r>
            <w:r w:rsidRPr="00D16B79">
              <w:rPr>
                <w:rFonts w:ascii="Times New Roman" w:hAnsi="Times New Roman"/>
                <w:sz w:val="20"/>
                <w:szCs w:val="20"/>
                <w:lang w:val="en-US"/>
              </w:rPr>
              <w:t>).</w:t>
            </w:r>
          </w:p>
          <w:p w14:paraId="1DDE6F1E" w14:textId="2207F305" w:rsidR="000035C2" w:rsidRPr="00D16B79" w:rsidRDefault="000035C2" w:rsidP="00DB1860">
            <w:pPr>
              <w:numPr>
                <w:ilvl w:val="0"/>
                <w:numId w:val="3"/>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Mediation with need in JE but not SE (H2)</w:t>
            </w:r>
            <w:r w:rsidR="009B24B6" w:rsidRPr="00D16B79">
              <w:rPr>
                <w:rFonts w:ascii="Times New Roman" w:hAnsi="Times New Roman"/>
                <w:sz w:val="20"/>
                <w:szCs w:val="20"/>
                <w:lang w:val="en-US"/>
              </w:rPr>
              <w:t>.</w:t>
            </w:r>
          </w:p>
          <w:p w14:paraId="61BB7120" w14:textId="77777777" w:rsidR="00DB1860" w:rsidRDefault="00DE26D1" w:rsidP="00DB1860">
            <w:pPr>
              <w:numPr>
                <w:ilvl w:val="0"/>
                <w:numId w:val="3"/>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 xml:space="preserve">DV: </w:t>
            </w:r>
            <w:r w:rsidR="00A350C0" w:rsidRPr="00D16B79">
              <w:rPr>
                <w:rFonts w:ascii="Times New Roman" w:hAnsi="Times New Roman"/>
                <w:sz w:val="20"/>
                <w:szCs w:val="20"/>
                <w:lang w:val="en-US"/>
              </w:rPr>
              <w:t xml:space="preserve">Likelihood and </w:t>
            </w:r>
            <w:r w:rsidRPr="00D16B79">
              <w:rPr>
                <w:rFonts w:ascii="Times New Roman" w:hAnsi="Times New Roman"/>
                <w:sz w:val="20"/>
                <w:szCs w:val="20"/>
                <w:lang w:val="en-US"/>
              </w:rPr>
              <w:t xml:space="preserve">binary choice. </w:t>
            </w:r>
            <w:r w:rsidR="00DB1860" w:rsidRPr="00D16B79">
              <w:rPr>
                <w:rFonts w:ascii="Times New Roman" w:hAnsi="Times New Roman"/>
                <w:sz w:val="20"/>
                <w:szCs w:val="20"/>
                <w:lang w:val="en-US"/>
              </w:rPr>
              <w:t>Pre</w:t>
            </w:r>
            <w:r w:rsidR="005000DF" w:rsidRPr="00D16B79">
              <w:rPr>
                <w:rFonts w:ascii="Times New Roman" w:hAnsi="Times New Roman"/>
                <w:sz w:val="20"/>
                <w:szCs w:val="20"/>
                <w:lang w:val="en-US"/>
              </w:rPr>
              <w:t>-</w:t>
            </w:r>
            <w:r w:rsidR="00DB1860" w:rsidRPr="00D16B79">
              <w:rPr>
                <w:rFonts w:ascii="Times New Roman" w:hAnsi="Times New Roman"/>
                <w:sz w:val="20"/>
                <w:szCs w:val="20"/>
                <w:lang w:val="en-US"/>
              </w:rPr>
              <w:t>registered.</w:t>
            </w:r>
          </w:p>
          <w:p w14:paraId="2547E329" w14:textId="3026F67D" w:rsidR="00BC42F3" w:rsidRPr="00C32F4B" w:rsidRDefault="00BC42F3" w:rsidP="00DB1860">
            <w:pPr>
              <w:numPr>
                <w:ilvl w:val="0"/>
                <w:numId w:val="3"/>
              </w:numPr>
              <w:autoSpaceDE w:val="0"/>
              <w:autoSpaceDN w:val="0"/>
              <w:adjustRightInd w:val="0"/>
              <w:spacing w:line="216" w:lineRule="auto"/>
              <w:ind w:left="178" w:hanging="178"/>
              <w:contextualSpacing/>
              <w:rPr>
                <w:rFonts w:ascii="Times New Roman" w:hAnsi="Times New Roman"/>
                <w:sz w:val="20"/>
                <w:szCs w:val="20"/>
                <w:lang w:val="fr-FR"/>
              </w:rPr>
            </w:pPr>
            <w:r w:rsidRPr="00C32F4B">
              <w:rPr>
                <w:rFonts w:ascii="Times New Roman" w:hAnsi="Times New Roman"/>
                <w:sz w:val="20"/>
                <w:szCs w:val="20"/>
                <w:lang w:val="fr-FR"/>
              </w:rPr>
              <w:t xml:space="preserve">3 (Evaluation </w:t>
            </w:r>
            <w:proofErr w:type="gramStart"/>
            <w:r w:rsidRPr="00C32F4B">
              <w:rPr>
                <w:rFonts w:ascii="Times New Roman" w:hAnsi="Times New Roman"/>
                <w:sz w:val="20"/>
                <w:szCs w:val="20"/>
                <w:lang w:val="fr-FR"/>
              </w:rPr>
              <w:t>type:</w:t>
            </w:r>
            <w:proofErr w:type="gramEnd"/>
            <w:r w:rsidRPr="00C32F4B">
              <w:rPr>
                <w:rFonts w:ascii="Times New Roman" w:hAnsi="Times New Roman"/>
                <w:sz w:val="20"/>
                <w:szCs w:val="20"/>
                <w:lang w:val="fr-FR"/>
              </w:rPr>
              <w:t xml:space="preserve"> </w:t>
            </w:r>
            <w:r w:rsidR="00953EC7" w:rsidRPr="00C32F4B">
              <w:rPr>
                <w:rFonts w:ascii="Times New Roman" w:hAnsi="Times New Roman"/>
                <w:sz w:val="20"/>
                <w:szCs w:val="20"/>
                <w:lang w:val="fr-FR"/>
              </w:rPr>
              <w:t>JE vs. SE far vs. SE close</w:t>
            </w:r>
            <w:r w:rsidRPr="00C32F4B">
              <w:rPr>
                <w:rFonts w:ascii="Times New Roman" w:hAnsi="Times New Roman"/>
                <w:sz w:val="20"/>
                <w:szCs w:val="20"/>
                <w:lang w:val="fr-FR"/>
              </w:rPr>
              <w:t>)</w:t>
            </w:r>
          </w:p>
        </w:tc>
      </w:tr>
      <w:tr w:rsidR="009F08DE" w:rsidRPr="00D16B79" w14:paraId="2D817D7F" w14:textId="77777777" w:rsidTr="00953EC7">
        <w:trPr>
          <w:gridAfter w:val="1"/>
          <w:wAfter w:w="17" w:type="dxa"/>
        </w:trPr>
        <w:tc>
          <w:tcPr>
            <w:tcW w:w="2245" w:type="dxa"/>
          </w:tcPr>
          <w:p w14:paraId="55580102" w14:textId="77777777" w:rsidR="00DB1860" w:rsidRPr="00C32F4B" w:rsidRDefault="00DB1860" w:rsidP="00282E83">
            <w:pPr>
              <w:autoSpaceDE w:val="0"/>
              <w:autoSpaceDN w:val="0"/>
              <w:adjustRightInd w:val="0"/>
              <w:spacing w:line="216" w:lineRule="auto"/>
              <w:rPr>
                <w:rFonts w:ascii="Times New Roman" w:hAnsi="Times New Roman"/>
                <w:sz w:val="20"/>
                <w:szCs w:val="20"/>
                <w:lang w:val="fr-FR"/>
              </w:rPr>
            </w:pPr>
          </w:p>
        </w:tc>
        <w:tc>
          <w:tcPr>
            <w:tcW w:w="1607" w:type="dxa"/>
            <w:gridSpan w:val="5"/>
          </w:tcPr>
          <w:p w14:paraId="2C2B910E"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Close</w:t>
            </w:r>
          </w:p>
        </w:tc>
        <w:tc>
          <w:tcPr>
            <w:tcW w:w="1561" w:type="dxa"/>
            <w:gridSpan w:val="11"/>
          </w:tcPr>
          <w:p w14:paraId="1E688C12"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Far</w:t>
            </w:r>
          </w:p>
        </w:tc>
        <w:tc>
          <w:tcPr>
            <w:tcW w:w="1777" w:type="dxa"/>
            <w:gridSpan w:val="10"/>
          </w:tcPr>
          <w:p w14:paraId="2BD25B0B"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Close</w:t>
            </w:r>
          </w:p>
        </w:tc>
        <w:tc>
          <w:tcPr>
            <w:tcW w:w="2143" w:type="dxa"/>
            <w:gridSpan w:val="8"/>
          </w:tcPr>
          <w:p w14:paraId="3FFB79EE"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Far</w:t>
            </w:r>
          </w:p>
        </w:tc>
      </w:tr>
      <w:tr w:rsidR="009F08DE" w:rsidRPr="00D16B79" w14:paraId="1D91796B" w14:textId="77777777" w:rsidTr="00953EC7">
        <w:trPr>
          <w:gridAfter w:val="1"/>
          <w:wAfter w:w="17" w:type="dxa"/>
        </w:trPr>
        <w:tc>
          <w:tcPr>
            <w:tcW w:w="2245" w:type="dxa"/>
          </w:tcPr>
          <w:p w14:paraId="5BB84967" w14:textId="77777777" w:rsidR="00DB1860" w:rsidRPr="00D16B79" w:rsidRDefault="00DB1860" w:rsidP="00282E83">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Likelihood</w:t>
            </w:r>
          </w:p>
        </w:tc>
        <w:tc>
          <w:tcPr>
            <w:tcW w:w="1607" w:type="dxa"/>
            <w:gridSpan w:val="5"/>
          </w:tcPr>
          <w:p w14:paraId="47E4CD35"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4.73</w:t>
            </w:r>
          </w:p>
        </w:tc>
        <w:tc>
          <w:tcPr>
            <w:tcW w:w="1561" w:type="dxa"/>
            <w:gridSpan w:val="11"/>
          </w:tcPr>
          <w:p w14:paraId="2FA14D76"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5.90</w:t>
            </w:r>
          </w:p>
        </w:tc>
        <w:tc>
          <w:tcPr>
            <w:tcW w:w="1777" w:type="dxa"/>
            <w:gridSpan w:val="10"/>
          </w:tcPr>
          <w:p w14:paraId="5A256E39"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5.78</w:t>
            </w:r>
          </w:p>
        </w:tc>
        <w:tc>
          <w:tcPr>
            <w:tcW w:w="2143" w:type="dxa"/>
            <w:gridSpan w:val="8"/>
          </w:tcPr>
          <w:p w14:paraId="6902700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5.33</w:t>
            </w:r>
          </w:p>
        </w:tc>
      </w:tr>
      <w:tr w:rsidR="009F08DE" w:rsidRPr="00D16B79" w14:paraId="697A66F3" w14:textId="77777777" w:rsidTr="00953EC7">
        <w:trPr>
          <w:gridAfter w:val="1"/>
          <w:wAfter w:w="17" w:type="dxa"/>
        </w:trPr>
        <w:tc>
          <w:tcPr>
            <w:tcW w:w="2245" w:type="dxa"/>
          </w:tcPr>
          <w:p w14:paraId="2D103D4E" w14:textId="331653E1" w:rsidR="000103CA" w:rsidRPr="00D16B79" w:rsidRDefault="000103CA" w:rsidP="00282E83">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Spending $1</w:t>
            </w:r>
          </w:p>
        </w:tc>
        <w:tc>
          <w:tcPr>
            <w:tcW w:w="1607" w:type="dxa"/>
            <w:gridSpan w:val="5"/>
          </w:tcPr>
          <w:p w14:paraId="630C9234" w14:textId="6892E0BF" w:rsidR="000103CA" w:rsidRPr="00D16B79" w:rsidRDefault="000103CA"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26</w:t>
            </w:r>
          </w:p>
        </w:tc>
        <w:tc>
          <w:tcPr>
            <w:tcW w:w="1561" w:type="dxa"/>
            <w:gridSpan w:val="11"/>
          </w:tcPr>
          <w:p w14:paraId="7451CFEC" w14:textId="4FFBA7A2" w:rsidR="000103CA" w:rsidRPr="00D16B79" w:rsidRDefault="000103CA"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51</w:t>
            </w:r>
          </w:p>
        </w:tc>
        <w:tc>
          <w:tcPr>
            <w:tcW w:w="1777" w:type="dxa"/>
            <w:gridSpan w:val="10"/>
          </w:tcPr>
          <w:p w14:paraId="01A27451" w14:textId="22310D93" w:rsidR="000103CA" w:rsidRPr="00D16B79" w:rsidRDefault="007B1B1A"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63</w:t>
            </w:r>
          </w:p>
        </w:tc>
        <w:tc>
          <w:tcPr>
            <w:tcW w:w="2143" w:type="dxa"/>
            <w:gridSpan w:val="8"/>
          </w:tcPr>
          <w:p w14:paraId="50550A56" w14:textId="63C30B08" w:rsidR="000103CA" w:rsidRPr="00D16B79" w:rsidRDefault="007B1B1A"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59</w:t>
            </w:r>
          </w:p>
        </w:tc>
      </w:tr>
      <w:tr w:rsidR="002703AB" w:rsidRPr="00025DDA" w14:paraId="199BB0EE" w14:textId="77777777" w:rsidTr="00953EC7">
        <w:tc>
          <w:tcPr>
            <w:tcW w:w="2245" w:type="dxa"/>
            <w:tcBorders>
              <w:top w:val="single" w:sz="12" w:space="0" w:color="auto"/>
              <w:bottom w:val="single" w:sz="4" w:space="0" w:color="A5A5A5"/>
            </w:tcBorders>
          </w:tcPr>
          <w:p w14:paraId="7B83BC59" w14:textId="77777777" w:rsidR="002703AB" w:rsidRPr="00D16B79" w:rsidRDefault="002703AB" w:rsidP="002703AB">
            <w:pPr>
              <w:autoSpaceDE w:val="0"/>
              <w:autoSpaceDN w:val="0"/>
              <w:adjustRightInd w:val="0"/>
              <w:spacing w:line="216" w:lineRule="auto"/>
              <w:rPr>
                <w:rFonts w:ascii="Times New Roman" w:hAnsi="Times New Roman"/>
                <w:b/>
                <w:bCs/>
                <w:sz w:val="20"/>
                <w:szCs w:val="20"/>
                <w:lang w:val="en-US"/>
              </w:rPr>
            </w:pPr>
            <w:bookmarkStart w:id="5" w:name="_Hlk131518518"/>
            <w:r w:rsidRPr="00D16B79">
              <w:rPr>
                <w:rFonts w:ascii="Times New Roman" w:hAnsi="Times New Roman"/>
                <w:b/>
                <w:bCs/>
                <w:sz w:val="20"/>
                <w:szCs w:val="20"/>
                <w:lang w:val="en-US"/>
              </w:rPr>
              <w:t>Study 3</w:t>
            </w:r>
          </w:p>
          <w:p w14:paraId="447AE7E5" w14:textId="2B73285F" w:rsidR="002703AB" w:rsidRPr="00D16B79" w:rsidRDefault="00D74D73" w:rsidP="002703AB">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i/>
                <w:iCs/>
                <w:sz w:val="20"/>
                <w:szCs w:val="20"/>
                <w:lang w:val="en-US"/>
              </w:rPr>
              <w:t>Three Projects JE vs. SE</w:t>
            </w:r>
          </w:p>
        </w:tc>
        <w:tc>
          <w:tcPr>
            <w:tcW w:w="7105" w:type="dxa"/>
            <w:gridSpan w:val="35"/>
            <w:tcBorders>
              <w:top w:val="single" w:sz="12" w:space="0" w:color="auto"/>
              <w:bottom w:val="single" w:sz="4" w:space="0" w:color="A5A5A5"/>
            </w:tcBorders>
          </w:tcPr>
          <w:p w14:paraId="7FCBEB28" w14:textId="4A4C282E" w:rsidR="002703AB" w:rsidRPr="00D16B79" w:rsidRDefault="002703AB" w:rsidP="002703AB">
            <w:pPr>
              <w:pStyle w:val="ListParagraph"/>
              <w:numPr>
                <w:ilvl w:val="0"/>
                <w:numId w:val="3"/>
              </w:numPr>
              <w:autoSpaceDE w:val="0"/>
              <w:autoSpaceDN w:val="0"/>
              <w:adjustRightInd w:val="0"/>
              <w:spacing w:line="216" w:lineRule="auto"/>
              <w:ind w:left="340" w:hanging="340"/>
              <w:rPr>
                <w:rFonts w:ascii="Times New Roman" w:hAnsi="Times New Roman"/>
                <w:sz w:val="20"/>
                <w:szCs w:val="20"/>
                <w:lang w:val="en-US"/>
              </w:rPr>
            </w:pPr>
            <w:r w:rsidRPr="00D16B79">
              <w:rPr>
                <w:rFonts w:ascii="Times New Roman" w:hAnsi="Times New Roman"/>
                <w:sz w:val="20"/>
                <w:szCs w:val="20"/>
                <w:lang w:val="en-US"/>
              </w:rPr>
              <w:t xml:space="preserve">Preference shift between JE and SE (H1) with </w:t>
            </w:r>
            <w:r w:rsidR="002014F6" w:rsidRPr="00D16B79">
              <w:rPr>
                <w:rFonts w:ascii="Times New Roman" w:hAnsi="Times New Roman"/>
                <w:sz w:val="20"/>
                <w:szCs w:val="20"/>
                <w:lang w:val="en-US"/>
              </w:rPr>
              <w:t>three projects</w:t>
            </w:r>
            <w:r w:rsidRPr="00D16B79">
              <w:rPr>
                <w:rFonts w:ascii="Times New Roman" w:hAnsi="Times New Roman"/>
                <w:sz w:val="20"/>
                <w:szCs w:val="20"/>
                <w:lang w:val="en-US"/>
              </w:rPr>
              <w:t>.</w:t>
            </w:r>
          </w:p>
          <w:p w14:paraId="779870F9" w14:textId="77777777" w:rsidR="002703AB" w:rsidRDefault="00DE26D1" w:rsidP="002703AB">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 xml:space="preserve">DV: </w:t>
            </w:r>
            <w:r w:rsidR="002703AB" w:rsidRPr="00D16B79">
              <w:rPr>
                <w:rFonts w:ascii="Times New Roman" w:hAnsi="Times New Roman"/>
                <w:sz w:val="20"/>
                <w:szCs w:val="20"/>
                <w:lang w:val="en-US"/>
              </w:rPr>
              <w:t>Incentive</w:t>
            </w:r>
            <w:r w:rsidR="009B24B6" w:rsidRPr="00D16B79">
              <w:rPr>
                <w:rFonts w:ascii="Times New Roman" w:hAnsi="Times New Roman"/>
                <w:sz w:val="20"/>
                <w:szCs w:val="20"/>
                <w:lang w:val="en-US"/>
              </w:rPr>
              <w:t>-</w:t>
            </w:r>
            <w:r w:rsidR="002703AB" w:rsidRPr="00D16B79">
              <w:rPr>
                <w:rFonts w:ascii="Times New Roman" w:hAnsi="Times New Roman"/>
                <w:sz w:val="20"/>
                <w:szCs w:val="20"/>
                <w:lang w:val="en-US"/>
              </w:rPr>
              <w:t>compatible donation from bonus amount. Pre-registered</w:t>
            </w:r>
            <w:r w:rsidR="00B12BFE" w:rsidRPr="00D16B79">
              <w:rPr>
                <w:rFonts w:ascii="Times New Roman" w:hAnsi="Times New Roman"/>
                <w:sz w:val="20"/>
                <w:szCs w:val="20"/>
                <w:lang w:val="en-US"/>
              </w:rPr>
              <w:t>.</w:t>
            </w:r>
          </w:p>
          <w:p w14:paraId="52C2E36D" w14:textId="63DDDDB1" w:rsidR="00BC42F3" w:rsidRPr="00C32F4B" w:rsidRDefault="00BC42F3" w:rsidP="002703AB">
            <w:pPr>
              <w:numPr>
                <w:ilvl w:val="0"/>
                <w:numId w:val="3"/>
              </w:numPr>
              <w:autoSpaceDE w:val="0"/>
              <w:autoSpaceDN w:val="0"/>
              <w:adjustRightInd w:val="0"/>
              <w:spacing w:line="216" w:lineRule="auto"/>
              <w:ind w:left="340" w:hanging="340"/>
              <w:contextualSpacing/>
              <w:rPr>
                <w:rFonts w:ascii="Times New Roman" w:hAnsi="Times New Roman"/>
                <w:sz w:val="20"/>
                <w:szCs w:val="20"/>
                <w:lang w:val="fr-FR"/>
              </w:rPr>
            </w:pPr>
            <w:r w:rsidRPr="00C32F4B">
              <w:rPr>
                <w:rFonts w:ascii="Times New Roman" w:hAnsi="Times New Roman"/>
                <w:sz w:val="20"/>
                <w:szCs w:val="20"/>
                <w:lang w:val="fr-FR"/>
              </w:rPr>
              <w:t xml:space="preserve">4 (Evaluation </w:t>
            </w:r>
            <w:proofErr w:type="gramStart"/>
            <w:r w:rsidRPr="00C32F4B">
              <w:rPr>
                <w:rFonts w:ascii="Times New Roman" w:hAnsi="Times New Roman"/>
                <w:sz w:val="20"/>
                <w:szCs w:val="20"/>
                <w:lang w:val="fr-FR"/>
              </w:rPr>
              <w:t>type:</w:t>
            </w:r>
            <w:proofErr w:type="gramEnd"/>
            <w:r w:rsidR="00953EC7" w:rsidRPr="00C32F4B">
              <w:rPr>
                <w:rFonts w:ascii="Times New Roman" w:hAnsi="Times New Roman"/>
                <w:sz w:val="20"/>
                <w:szCs w:val="20"/>
                <w:lang w:val="fr-FR"/>
              </w:rPr>
              <w:t xml:space="preserve"> JE vs. SE far vs. SE </w:t>
            </w:r>
            <w:proofErr w:type="spellStart"/>
            <w:r w:rsidR="00953EC7" w:rsidRPr="00C32F4B">
              <w:rPr>
                <w:rFonts w:ascii="Times New Roman" w:hAnsi="Times New Roman"/>
                <w:sz w:val="20"/>
                <w:szCs w:val="20"/>
                <w:lang w:val="fr-FR"/>
              </w:rPr>
              <w:t>mid</w:t>
            </w:r>
            <w:proofErr w:type="spellEnd"/>
            <w:r w:rsidR="00953EC7" w:rsidRPr="00C32F4B">
              <w:rPr>
                <w:rFonts w:ascii="Times New Roman" w:hAnsi="Times New Roman"/>
                <w:sz w:val="20"/>
                <w:szCs w:val="20"/>
                <w:lang w:val="fr-FR"/>
              </w:rPr>
              <w:t xml:space="preserve"> vs. SE close</w:t>
            </w:r>
            <w:r w:rsidRPr="00C32F4B">
              <w:rPr>
                <w:rFonts w:ascii="Times New Roman" w:hAnsi="Times New Roman"/>
                <w:sz w:val="20"/>
                <w:szCs w:val="20"/>
                <w:lang w:val="fr-FR"/>
              </w:rPr>
              <w:t>).</w:t>
            </w:r>
          </w:p>
        </w:tc>
      </w:tr>
      <w:tr w:rsidR="00F34679" w:rsidRPr="00D16B79" w14:paraId="30A3F5D4" w14:textId="77777777" w:rsidTr="00953EC7">
        <w:tc>
          <w:tcPr>
            <w:tcW w:w="2245" w:type="dxa"/>
            <w:vMerge w:val="restart"/>
          </w:tcPr>
          <w:p w14:paraId="4E5407CB" w14:textId="77777777" w:rsidR="00F34679" w:rsidRPr="00C32F4B" w:rsidRDefault="00F34679" w:rsidP="00F34679">
            <w:pPr>
              <w:autoSpaceDE w:val="0"/>
              <w:autoSpaceDN w:val="0"/>
              <w:adjustRightInd w:val="0"/>
              <w:spacing w:line="216" w:lineRule="auto"/>
              <w:rPr>
                <w:rFonts w:ascii="Times New Roman" w:hAnsi="Times New Roman"/>
                <w:sz w:val="20"/>
                <w:szCs w:val="20"/>
                <w:lang w:val="fr-FR"/>
              </w:rPr>
            </w:pPr>
          </w:p>
        </w:tc>
        <w:tc>
          <w:tcPr>
            <w:tcW w:w="3605" w:type="dxa"/>
            <w:gridSpan w:val="18"/>
          </w:tcPr>
          <w:p w14:paraId="08BBE199" w14:textId="36CDE762" w:rsidR="00F34679" w:rsidRPr="00D16B79" w:rsidRDefault="002014F6"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w:t>
            </w:r>
          </w:p>
        </w:tc>
        <w:tc>
          <w:tcPr>
            <w:tcW w:w="3500" w:type="dxa"/>
            <w:gridSpan w:val="17"/>
          </w:tcPr>
          <w:p w14:paraId="2ACA5ECF" w14:textId="1AF4724F" w:rsidR="00F34679" w:rsidRPr="00D16B79" w:rsidRDefault="002014F6"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w:t>
            </w:r>
          </w:p>
        </w:tc>
      </w:tr>
      <w:tr w:rsidR="009F08DE" w:rsidRPr="00D16B79" w14:paraId="2CAD46DE" w14:textId="77777777" w:rsidTr="00953EC7">
        <w:tc>
          <w:tcPr>
            <w:tcW w:w="2245" w:type="dxa"/>
            <w:vMerge/>
          </w:tcPr>
          <w:p w14:paraId="1D1A9C8F" w14:textId="77777777" w:rsidR="00D16B79" w:rsidRPr="00D16B79" w:rsidRDefault="00D16B79" w:rsidP="00F34679">
            <w:pPr>
              <w:autoSpaceDE w:val="0"/>
              <w:autoSpaceDN w:val="0"/>
              <w:adjustRightInd w:val="0"/>
              <w:spacing w:line="216" w:lineRule="auto"/>
              <w:rPr>
                <w:rFonts w:ascii="Times New Roman" w:hAnsi="Times New Roman"/>
                <w:sz w:val="20"/>
                <w:szCs w:val="20"/>
                <w:lang w:val="en-US"/>
              </w:rPr>
            </w:pPr>
          </w:p>
        </w:tc>
        <w:tc>
          <w:tcPr>
            <w:tcW w:w="973" w:type="dxa"/>
            <w:gridSpan w:val="4"/>
          </w:tcPr>
          <w:p w14:paraId="04FCB5C3" w14:textId="0A363433"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85" w:type="dxa"/>
            <w:gridSpan w:val="4"/>
          </w:tcPr>
          <w:p w14:paraId="0702E62B" w14:textId="3EFB165D"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Mid</w:t>
            </w:r>
          </w:p>
        </w:tc>
        <w:tc>
          <w:tcPr>
            <w:tcW w:w="876" w:type="dxa"/>
            <w:gridSpan w:val="5"/>
          </w:tcPr>
          <w:p w14:paraId="2E4F8165" w14:textId="77777777"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1" w:type="dxa"/>
            <w:gridSpan w:val="5"/>
          </w:tcPr>
          <w:p w14:paraId="3ACADF6A" w14:textId="2F12A5C2"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Keep</w:t>
            </w:r>
          </w:p>
        </w:tc>
        <w:tc>
          <w:tcPr>
            <w:tcW w:w="875" w:type="dxa"/>
            <w:gridSpan w:val="5"/>
          </w:tcPr>
          <w:p w14:paraId="49009A1B" w14:textId="3B908576"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85" w:type="dxa"/>
            <w:gridSpan w:val="6"/>
          </w:tcPr>
          <w:p w14:paraId="3724D6D3" w14:textId="7ECC2606"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Mid</w:t>
            </w:r>
          </w:p>
        </w:tc>
        <w:tc>
          <w:tcPr>
            <w:tcW w:w="870" w:type="dxa"/>
            <w:gridSpan w:val="4"/>
          </w:tcPr>
          <w:p w14:paraId="479DAED0" w14:textId="77777777"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0" w:type="dxa"/>
            <w:gridSpan w:val="2"/>
          </w:tcPr>
          <w:p w14:paraId="669CE941" w14:textId="5DCD1E64" w:rsidR="00D16B79" w:rsidRPr="00D16B79" w:rsidRDefault="00D16B79" w:rsidP="00F3467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Keep</w:t>
            </w:r>
          </w:p>
        </w:tc>
      </w:tr>
      <w:tr w:rsidR="009F08DE" w:rsidRPr="00D16B79" w14:paraId="7FE406C5" w14:textId="77777777" w:rsidTr="00953EC7">
        <w:tc>
          <w:tcPr>
            <w:tcW w:w="2245" w:type="dxa"/>
          </w:tcPr>
          <w:p w14:paraId="2C81E32A" w14:textId="1861A4D7" w:rsidR="00D16B79" w:rsidRPr="00D16B79" w:rsidRDefault="00D16B79" w:rsidP="00005FA8">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973" w:type="dxa"/>
            <w:gridSpan w:val="4"/>
          </w:tcPr>
          <w:p w14:paraId="1DFF0142" w14:textId="6C2D959B"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.08</w:t>
            </w:r>
          </w:p>
        </w:tc>
        <w:tc>
          <w:tcPr>
            <w:tcW w:w="885" w:type="dxa"/>
            <w:gridSpan w:val="4"/>
          </w:tcPr>
          <w:p w14:paraId="5ADFEFF5" w14:textId="46F0D8C8"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.08</w:t>
            </w:r>
          </w:p>
        </w:tc>
        <w:tc>
          <w:tcPr>
            <w:tcW w:w="876" w:type="dxa"/>
            <w:gridSpan w:val="5"/>
          </w:tcPr>
          <w:p w14:paraId="3A50F0D3" w14:textId="77777777"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.16</w:t>
            </w:r>
          </w:p>
        </w:tc>
        <w:tc>
          <w:tcPr>
            <w:tcW w:w="871" w:type="dxa"/>
            <w:gridSpan w:val="5"/>
          </w:tcPr>
          <w:p w14:paraId="5C055F92" w14:textId="17FD726D"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.18</w:t>
            </w:r>
          </w:p>
        </w:tc>
        <w:tc>
          <w:tcPr>
            <w:tcW w:w="875" w:type="dxa"/>
            <w:gridSpan w:val="5"/>
          </w:tcPr>
          <w:p w14:paraId="55304E83" w14:textId="1C280C99"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.27</w:t>
            </w:r>
          </w:p>
        </w:tc>
        <w:tc>
          <w:tcPr>
            <w:tcW w:w="885" w:type="dxa"/>
            <w:gridSpan w:val="6"/>
          </w:tcPr>
          <w:p w14:paraId="3940D5B3" w14:textId="36B4B19D"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.28</w:t>
            </w:r>
          </w:p>
        </w:tc>
        <w:tc>
          <w:tcPr>
            <w:tcW w:w="870" w:type="dxa"/>
            <w:gridSpan w:val="4"/>
          </w:tcPr>
          <w:p w14:paraId="4F72AD7E" w14:textId="77777777"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.26</w:t>
            </w:r>
          </w:p>
        </w:tc>
        <w:tc>
          <w:tcPr>
            <w:tcW w:w="870" w:type="dxa"/>
            <w:gridSpan w:val="2"/>
          </w:tcPr>
          <w:p w14:paraId="227BBBE5" w14:textId="340D326E"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Pr>
                <w:rFonts w:ascii="Times New Roman" w:hAnsi="Times New Roman"/>
                <w:sz w:val="20"/>
                <w:szCs w:val="20"/>
                <w:lang w:val="en-US"/>
              </w:rPr>
              <w:t>.23</w:t>
            </w:r>
          </w:p>
        </w:tc>
      </w:tr>
      <w:tr w:rsidR="009F08DE" w:rsidRPr="00D16B79" w14:paraId="52DB02A4" w14:textId="77777777" w:rsidTr="00953EC7">
        <w:tc>
          <w:tcPr>
            <w:tcW w:w="2245" w:type="dxa"/>
          </w:tcPr>
          <w:p w14:paraId="4F4AF4DF" w14:textId="33CC7F4A" w:rsidR="00D16B79" w:rsidRPr="00D16B79" w:rsidRDefault="00D16B79" w:rsidP="00005FA8">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Percentage</w:t>
            </w:r>
          </w:p>
        </w:tc>
        <w:tc>
          <w:tcPr>
            <w:tcW w:w="973" w:type="dxa"/>
            <w:gridSpan w:val="4"/>
          </w:tcPr>
          <w:p w14:paraId="09A0FFA2" w14:textId="56BE7F7D"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16.2%</w:t>
            </w:r>
          </w:p>
        </w:tc>
        <w:tc>
          <w:tcPr>
            <w:tcW w:w="885" w:type="dxa"/>
            <w:gridSpan w:val="4"/>
          </w:tcPr>
          <w:p w14:paraId="007B9D8E" w14:textId="57C9F213"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15.5%</w:t>
            </w:r>
          </w:p>
        </w:tc>
        <w:tc>
          <w:tcPr>
            <w:tcW w:w="876" w:type="dxa"/>
            <w:gridSpan w:val="5"/>
          </w:tcPr>
          <w:p w14:paraId="19007D33" w14:textId="77777777"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31.8%</w:t>
            </w:r>
          </w:p>
        </w:tc>
        <w:tc>
          <w:tcPr>
            <w:tcW w:w="871" w:type="dxa"/>
            <w:gridSpan w:val="5"/>
          </w:tcPr>
          <w:p w14:paraId="215810CD" w14:textId="580A80B9"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36.5%</w:t>
            </w:r>
          </w:p>
        </w:tc>
        <w:tc>
          <w:tcPr>
            <w:tcW w:w="875" w:type="dxa"/>
            <w:gridSpan w:val="5"/>
          </w:tcPr>
          <w:p w14:paraId="4A895580" w14:textId="4EE256CA"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53.9%</w:t>
            </w:r>
          </w:p>
        </w:tc>
        <w:tc>
          <w:tcPr>
            <w:tcW w:w="885" w:type="dxa"/>
            <w:gridSpan w:val="6"/>
          </w:tcPr>
          <w:p w14:paraId="11A1EA5B" w14:textId="58844BDE"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56.6%</w:t>
            </w:r>
          </w:p>
        </w:tc>
        <w:tc>
          <w:tcPr>
            <w:tcW w:w="870" w:type="dxa"/>
            <w:gridSpan w:val="4"/>
          </w:tcPr>
          <w:p w14:paraId="51B05C9B" w14:textId="77777777"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51.7%</w:t>
            </w:r>
          </w:p>
        </w:tc>
        <w:tc>
          <w:tcPr>
            <w:tcW w:w="870" w:type="dxa"/>
            <w:gridSpan w:val="2"/>
          </w:tcPr>
          <w:p w14:paraId="0BA84E93" w14:textId="2B4E2085" w:rsidR="00D16B79" w:rsidRPr="00D16B79" w:rsidRDefault="00D16B79" w:rsidP="00005FA8">
            <w:pPr>
              <w:autoSpaceDE w:val="0"/>
              <w:autoSpaceDN w:val="0"/>
              <w:adjustRightInd w:val="0"/>
              <w:spacing w:line="216" w:lineRule="auto"/>
              <w:jc w:val="center"/>
              <w:rPr>
                <w:rFonts w:ascii="Times New Roman" w:hAnsi="Times New Roman"/>
                <w:sz w:val="20"/>
                <w:szCs w:val="20"/>
                <w:lang w:val="en-US"/>
              </w:rPr>
            </w:pPr>
            <w:r>
              <w:rPr>
                <w:rFonts w:ascii="Times New Roman" w:hAnsi="Times New Roman"/>
                <w:sz w:val="20"/>
                <w:szCs w:val="20"/>
                <w:lang w:val="en-US"/>
              </w:rPr>
              <w:t>45.9%</w:t>
            </w:r>
          </w:p>
        </w:tc>
      </w:tr>
      <w:bookmarkEnd w:id="5"/>
      <w:tr w:rsidR="00DB1860" w:rsidRPr="00D16B79" w14:paraId="10D87AA3" w14:textId="77777777" w:rsidTr="00953EC7">
        <w:trPr>
          <w:gridAfter w:val="1"/>
          <w:wAfter w:w="17" w:type="dxa"/>
        </w:trPr>
        <w:tc>
          <w:tcPr>
            <w:tcW w:w="2245" w:type="dxa"/>
            <w:tcBorders>
              <w:top w:val="single" w:sz="12" w:space="0" w:color="auto"/>
              <w:bottom w:val="single" w:sz="4" w:space="0" w:color="A5A5A5"/>
            </w:tcBorders>
          </w:tcPr>
          <w:p w14:paraId="0890AD09" w14:textId="410239D4" w:rsidR="00DB1860" w:rsidRPr="00D16B79" w:rsidRDefault="00DB1860" w:rsidP="00282E83">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 xml:space="preserve">Study </w:t>
            </w:r>
            <w:r w:rsidR="002A3E9B" w:rsidRPr="00D16B79">
              <w:rPr>
                <w:rFonts w:ascii="Times New Roman" w:hAnsi="Times New Roman"/>
                <w:b/>
                <w:bCs/>
                <w:sz w:val="20"/>
                <w:szCs w:val="20"/>
                <w:lang w:val="en-US"/>
              </w:rPr>
              <w:t>4</w:t>
            </w:r>
          </w:p>
          <w:p w14:paraId="70EBB76A" w14:textId="59E30A9F" w:rsidR="00696D37" w:rsidRPr="00D16B79" w:rsidRDefault="007A3075" w:rsidP="00282E83">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i/>
                <w:iCs/>
                <w:sz w:val="20"/>
                <w:szCs w:val="20"/>
                <w:lang w:val="en-US"/>
              </w:rPr>
              <w:t>Charity</w:t>
            </w:r>
            <w:r w:rsidR="00696D37" w:rsidRPr="00D16B79">
              <w:rPr>
                <w:rFonts w:ascii="Times New Roman" w:hAnsi="Times New Roman"/>
                <w:i/>
                <w:iCs/>
                <w:sz w:val="20"/>
                <w:szCs w:val="20"/>
                <w:lang w:val="en-US"/>
              </w:rPr>
              <w:t xml:space="preserve"> vs</w:t>
            </w:r>
            <w:r w:rsidR="002014F6" w:rsidRPr="00D16B79">
              <w:rPr>
                <w:rFonts w:ascii="Times New Roman" w:hAnsi="Times New Roman"/>
                <w:i/>
                <w:iCs/>
                <w:sz w:val="20"/>
                <w:szCs w:val="20"/>
                <w:lang w:val="en-US"/>
              </w:rPr>
              <w:t>.</w:t>
            </w:r>
            <w:r w:rsidR="00696D37" w:rsidRPr="00D16B79">
              <w:rPr>
                <w:rFonts w:ascii="Times New Roman" w:hAnsi="Times New Roman"/>
                <w:i/>
                <w:iCs/>
                <w:sz w:val="20"/>
                <w:szCs w:val="20"/>
                <w:lang w:val="en-US"/>
              </w:rPr>
              <w:t xml:space="preserve"> Business</w:t>
            </w:r>
          </w:p>
        </w:tc>
        <w:tc>
          <w:tcPr>
            <w:tcW w:w="7088" w:type="dxa"/>
            <w:gridSpan w:val="34"/>
            <w:tcBorders>
              <w:top w:val="single" w:sz="12" w:space="0" w:color="auto"/>
              <w:bottom w:val="single" w:sz="4" w:space="0" w:color="A5A5A5"/>
            </w:tcBorders>
          </w:tcPr>
          <w:p w14:paraId="1DE84A88" w14:textId="34B68768" w:rsidR="00DB1860" w:rsidRPr="00D16B79" w:rsidRDefault="00DB1860" w:rsidP="00DB1860">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Moderation by organization type (H</w:t>
            </w:r>
            <w:r w:rsidR="007340B7" w:rsidRPr="00D16B79">
              <w:rPr>
                <w:rFonts w:ascii="Times New Roman" w:hAnsi="Times New Roman"/>
                <w:sz w:val="20"/>
                <w:szCs w:val="20"/>
                <w:lang w:val="en-US"/>
              </w:rPr>
              <w:t>3</w:t>
            </w:r>
            <w:r w:rsidRPr="00D16B79">
              <w:rPr>
                <w:rFonts w:ascii="Times New Roman" w:hAnsi="Times New Roman"/>
                <w:sz w:val="20"/>
                <w:szCs w:val="20"/>
                <w:lang w:val="en-US"/>
              </w:rPr>
              <w:t>).</w:t>
            </w:r>
          </w:p>
          <w:p w14:paraId="443958FE" w14:textId="77777777" w:rsidR="00DB1860" w:rsidRDefault="00DB1860" w:rsidP="00DB1860">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Pre</w:t>
            </w:r>
            <w:r w:rsidR="005000DF" w:rsidRPr="00D16B79">
              <w:rPr>
                <w:rFonts w:ascii="Times New Roman" w:hAnsi="Times New Roman"/>
                <w:sz w:val="20"/>
                <w:szCs w:val="20"/>
                <w:lang w:val="en-US"/>
              </w:rPr>
              <w:t>-</w:t>
            </w:r>
            <w:r w:rsidRPr="00D16B79">
              <w:rPr>
                <w:rFonts w:ascii="Times New Roman" w:hAnsi="Times New Roman"/>
                <w:sz w:val="20"/>
                <w:szCs w:val="20"/>
                <w:lang w:val="en-US"/>
              </w:rPr>
              <w:t>registered.</w:t>
            </w:r>
          </w:p>
          <w:p w14:paraId="738001F8" w14:textId="478910D6" w:rsidR="00C823D0" w:rsidRPr="00D16B79" w:rsidRDefault="00C823D0" w:rsidP="00DB1860">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 xml:space="preserve">3 (Evaluation type: </w:t>
            </w:r>
            <w:r>
              <w:rPr>
                <w:rFonts w:ascii="Times New Roman" w:hAnsi="Times New Roman"/>
                <w:sz w:val="20"/>
                <w:szCs w:val="20"/>
                <w:lang w:val="en-US"/>
              </w:rPr>
              <w:t>JE</w:t>
            </w:r>
            <w:r w:rsidRPr="00D16B79">
              <w:rPr>
                <w:rFonts w:ascii="Times New Roman" w:hAnsi="Times New Roman"/>
                <w:sz w:val="20"/>
                <w:szCs w:val="20"/>
                <w:lang w:val="en-US"/>
              </w:rPr>
              <w:t xml:space="preserve"> vs. </w:t>
            </w:r>
            <w:r>
              <w:rPr>
                <w:rFonts w:ascii="Times New Roman" w:hAnsi="Times New Roman"/>
                <w:sz w:val="20"/>
                <w:szCs w:val="20"/>
                <w:lang w:val="en-US"/>
              </w:rPr>
              <w:t>SE</w:t>
            </w:r>
            <w:r w:rsidRPr="00D16B79">
              <w:rPr>
                <w:rFonts w:ascii="Times New Roman" w:hAnsi="Times New Roman"/>
                <w:sz w:val="20"/>
                <w:szCs w:val="20"/>
                <w:lang w:val="en-US"/>
              </w:rPr>
              <w:t xml:space="preserve"> far vs. </w:t>
            </w:r>
            <w:r>
              <w:rPr>
                <w:rFonts w:ascii="Times New Roman" w:hAnsi="Times New Roman"/>
                <w:sz w:val="20"/>
                <w:szCs w:val="20"/>
                <w:lang w:val="en-US"/>
              </w:rPr>
              <w:t>SE</w:t>
            </w:r>
            <w:r w:rsidRPr="00D16B79">
              <w:rPr>
                <w:rFonts w:ascii="Times New Roman" w:hAnsi="Times New Roman"/>
                <w:sz w:val="20"/>
                <w:szCs w:val="20"/>
                <w:lang w:val="en-US"/>
              </w:rPr>
              <w:t xml:space="preserve"> close) x 2 (Organization type: charity vs. business)</w:t>
            </w:r>
          </w:p>
        </w:tc>
      </w:tr>
      <w:tr w:rsidR="00DB1860" w:rsidRPr="00D16B79" w14:paraId="48441318" w14:textId="77777777" w:rsidTr="00953EC7">
        <w:trPr>
          <w:gridAfter w:val="1"/>
          <w:wAfter w:w="17" w:type="dxa"/>
        </w:trPr>
        <w:tc>
          <w:tcPr>
            <w:tcW w:w="2245" w:type="dxa"/>
            <w:vMerge w:val="restart"/>
          </w:tcPr>
          <w:p w14:paraId="5574CACA" w14:textId="77777777" w:rsidR="00DB1860" w:rsidRPr="00D16B79" w:rsidRDefault="00DB1860" w:rsidP="00282E83">
            <w:pPr>
              <w:autoSpaceDE w:val="0"/>
              <w:autoSpaceDN w:val="0"/>
              <w:adjustRightInd w:val="0"/>
              <w:spacing w:line="216" w:lineRule="auto"/>
              <w:rPr>
                <w:rFonts w:ascii="Times New Roman" w:hAnsi="Times New Roman"/>
                <w:sz w:val="20"/>
                <w:szCs w:val="20"/>
                <w:lang w:val="en-US"/>
              </w:rPr>
            </w:pPr>
          </w:p>
        </w:tc>
        <w:tc>
          <w:tcPr>
            <w:tcW w:w="3587" w:type="dxa"/>
            <w:gridSpan w:val="17"/>
          </w:tcPr>
          <w:p w14:paraId="7C9489E9"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Charity</w:t>
            </w:r>
          </w:p>
        </w:tc>
        <w:tc>
          <w:tcPr>
            <w:tcW w:w="3501" w:type="dxa"/>
            <w:gridSpan w:val="17"/>
          </w:tcPr>
          <w:p w14:paraId="697BAA60"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Business</w:t>
            </w:r>
          </w:p>
        </w:tc>
      </w:tr>
      <w:tr w:rsidR="009F08DE" w:rsidRPr="00D16B79" w14:paraId="6BD71254" w14:textId="77777777" w:rsidTr="00953EC7">
        <w:trPr>
          <w:gridAfter w:val="1"/>
          <w:wAfter w:w="17" w:type="dxa"/>
        </w:trPr>
        <w:tc>
          <w:tcPr>
            <w:tcW w:w="2245" w:type="dxa"/>
            <w:vMerge/>
          </w:tcPr>
          <w:p w14:paraId="769D60F9" w14:textId="77777777" w:rsidR="00DB1860" w:rsidRPr="00D16B79" w:rsidRDefault="00DB1860" w:rsidP="00282E83">
            <w:pPr>
              <w:autoSpaceDE w:val="0"/>
              <w:autoSpaceDN w:val="0"/>
              <w:adjustRightInd w:val="0"/>
              <w:spacing w:line="216" w:lineRule="auto"/>
              <w:rPr>
                <w:rFonts w:ascii="Times New Roman" w:hAnsi="Times New Roman"/>
                <w:sz w:val="20"/>
                <w:szCs w:val="20"/>
                <w:lang w:val="en-US"/>
              </w:rPr>
            </w:pPr>
          </w:p>
        </w:tc>
        <w:tc>
          <w:tcPr>
            <w:tcW w:w="1837" w:type="dxa"/>
            <w:gridSpan w:val="7"/>
          </w:tcPr>
          <w:p w14:paraId="0E9E27D2"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w:t>
            </w:r>
          </w:p>
        </w:tc>
        <w:tc>
          <w:tcPr>
            <w:tcW w:w="1750" w:type="dxa"/>
            <w:gridSpan w:val="10"/>
          </w:tcPr>
          <w:p w14:paraId="646A6466"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w:t>
            </w:r>
          </w:p>
        </w:tc>
        <w:tc>
          <w:tcPr>
            <w:tcW w:w="1751" w:type="dxa"/>
            <w:gridSpan w:val="11"/>
          </w:tcPr>
          <w:p w14:paraId="609A9756"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w:t>
            </w:r>
          </w:p>
        </w:tc>
        <w:tc>
          <w:tcPr>
            <w:tcW w:w="1750" w:type="dxa"/>
            <w:gridSpan w:val="6"/>
          </w:tcPr>
          <w:p w14:paraId="25ACA8DE"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w:t>
            </w:r>
          </w:p>
        </w:tc>
      </w:tr>
      <w:tr w:rsidR="00953EC7" w:rsidRPr="00D16B79" w14:paraId="7B4CC8FD" w14:textId="77777777" w:rsidTr="00953EC7">
        <w:trPr>
          <w:gridAfter w:val="1"/>
          <w:wAfter w:w="17" w:type="dxa"/>
        </w:trPr>
        <w:tc>
          <w:tcPr>
            <w:tcW w:w="2245" w:type="dxa"/>
            <w:vMerge/>
          </w:tcPr>
          <w:p w14:paraId="34E71DDF" w14:textId="77777777" w:rsidR="00DB1860" w:rsidRPr="00D16B79" w:rsidRDefault="00DB1860" w:rsidP="00282E83">
            <w:pPr>
              <w:autoSpaceDE w:val="0"/>
              <w:autoSpaceDN w:val="0"/>
              <w:adjustRightInd w:val="0"/>
              <w:spacing w:line="216" w:lineRule="auto"/>
              <w:rPr>
                <w:rFonts w:ascii="Times New Roman" w:hAnsi="Times New Roman"/>
                <w:sz w:val="20"/>
                <w:szCs w:val="20"/>
                <w:lang w:val="en-US"/>
              </w:rPr>
            </w:pPr>
          </w:p>
        </w:tc>
        <w:tc>
          <w:tcPr>
            <w:tcW w:w="962" w:type="dxa"/>
            <w:gridSpan w:val="3"/>
          </w:tcPr>
          <w:p w14:paraId="2171C982"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5" w:type="dxa"/>
            <w:gridSpan w:val="4"/>
          </w:tcPr>
          <w:p w14:paraId="254C3D5F"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6" w:type="dxa"/>
            <w:gridSpan w:val="5"/>
          </w:tcPr>
          <w:p w14:paraId="78DB2160"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4" w:type="dxa"/>
            <w:gridSpan w:val="5"/>
          </w:tcPr>
          <w:p w14:paraId="099C651A"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3" w:type="dxa"/>
            <w:gridSpan w:val="5"/>
          </w:tcPr>
          <w:p w14:paraId="4FDF486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8" w:type="dxa"/>
            <w:gridSpan w:val="6"/>
          </w:tcPr>
          <w:p w14:paraId="43EA36FE"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4" w:type="dxa"/>
            <w:gridSpan w:val="4"/>
          </w:tcPr>
          <w:p w14:paraId="0B4C8D5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6" w:type="dxa"/>
            <w:gridSpan w:val="2"/>
          </w:tcPr>
          <w:p w14:paraId="12D7C928"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r>
      <w:tr w:rsidR="00953EC7" w:rsidRPr="00D16B79" w14:paraId="48DE7DBA" w14:textId="77777777" w:rsidTr="00953EC7">
        <w:trPr>
          <w:gridAfter w:val="1"/>
          <w:wAfter w:w="17" w:type="dxa"/>
        </w:trPr>
        <w:tc>
          <w:tcPr>
            <w:tcW w:w="2245" w:type="dxa"/>
          </w:tcPr>
          <w:p w14:paraId="4BC77A5C" w14:textId="77777777" w:rsidR="00DB1860" w:rsidRPr="00D16B79" w:rsidRDefault="00DB1860" w:rsidP="00282E83">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962" w:type="dxa"/>
            <w:gridSpan w:val="3"/>
          </w:tcPr>
          <w:p w14:paraId="3EADFD5B"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 xml:space="preserve">44.29 </w:t>
            </w:r>
          </w:p>
        </w:tc>
        <w:tc>
          <w:tcPr>
            <w:tcW w:w="875" w:type="dxa"/>
            <w:gridSpan w:val="4"/>
          </w:tcPr>
          <w:p w14:paraId="33DD4F0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55.71</w:t>
            </w:r>
          </w:p>
        </w:tc>
        <w:tc>
          <w:tcPr>
            <w:tcW w:w="876" w:type="dxa"/>
            <w:gridSpan w:val="5"/>
          </w:tcPr>
          <w:p w14:paraId="4C2E41AC"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43.86</w:t>
            </w:r>
          </w:p>
        </w:tc>
        <w:tc>
          <w:tcPr>
            <w:tcW w:w="874" w:type="dxa"/>
            <w:gridSpan w:val="5"/>
          </w:tcPr>
          <w:p w14:paraId="259A33CF"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36.52</w:t>
            </w:r>
          </w:p>
        </w:tc>
        <w:tc>
          <w:tcPr>
            <w:tcW w:w="873" w:type="dxa"/>
            <w:gridSpan w:val="5"/>
          </w:tcPr>
          <w:p w14:paraId="27C25B40"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52.16</w:t>
            </w:r>
          </w:p>
        </w:tc>
        <w:tc>
          <w:tcPr>
            <w:tcW w:w="878" w:type="dxa"/>
            <w:gridSpan w:val="6"/>
          </w:tcPr>
          <w:p w14:paraId="663371ED"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47.84</w:t>
            </w:r>
          </w:p>
        </w:tc>
        <w:tc>
          <w:tcPr>
            <w:tcW w:w="874" w:type="dxa"/>
            <w:gridSpan w:val="4"/>
          </w:tcPr>
          <w:p w14:paraId="5EA67C78"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48.43</w:t>
            </w:r>
          </w:p>
        </w:tc>
        <w:tc>
          <w:tcPr>
            <w:tcW w:w="876" w:type="dxa"/>
            <w:gridSpan w:val="2"/>
          </w:tcPr>
          <w:p w14:paraId="3401EC99" w14:textId="77777777" w:rsidR="00DB1860" w:rsidRPr="00D16B79" w:rsidRDefault="00DB1860" w:rsidP="00282E83">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40.40</w:t>
            </w:r>
          </w:p>
        </w:tc>
      </w:tr>
      <w:tr w:rsidR="009317A7" w:rsidRPr="00D16B79" w14:paraId="52EDD8F9" w14:textId="77777777" w:rsidTr="00953EC7">
        <w:trPr>
          <w:gridAfter w:val="1"/>
          <w:wAfter w:w="17" w:type="dxa"/>
          <w:trHeight w:val="618"/>
        </w:trPr>
        <w:tc>
          <w:tcPr>
            <w:tcW w:w="2245" w:type="dxa"/>
            <w:tcBorders>
              <w:top w:val="single" w:sz="12" w:space="0" w:color="auto"/>
              <w:bottom w:val="single" w:sz="4" w:space="0" w:color="A5A5A5"/>
            </w:tcBorders>
          </w:tcPr>
          <w:p w14:paraId="02CE5775" w14:textId="77777777" w:rsidR="009317A7" w:rsidRPr="00D16B79" w:rsidRDefault="009317A7" w:rsidP="009317A7">
            <w:pPr>
              <w:autoSpaceDE w:val="0"/>
              <w:autoSpaceDN w:val="0"/>
              <w:adjustRightInd w:val="0"/>
              <w:spacing w:line="216" w:lineRule="auto"/>
              <w:rPr>
                <w:rFonts w:ascii="Times New Roman" w:hAnsi="Times New Roman"/>
                <w:b/>
                <w:bCs/>
                <w:sz w:val="20"/>
                <w:szCs w:val="20"/>
                <w:lang w:val="en-US"/>
              </w:rPr>
            </w:pPr>
            <w:bookmarkStart w:id="6" w:name="_Hlk132762271"/>
            <w:r w:rsidRPr="00D16B79">
              <w:rPr>
                <w:rFonts w:ascii="Times New Roman" w:hAnsi="Times New Roman"/>
                <w:b/>
                <w:bCs/>
                <w:sz w:val="20"/>
                <w:szCs w:val="20"/>
                <w:lang w:val="en-US"/>
              </w:rPr>
              <w:t>Study 5A</w:t>
            </w:r>
          </w:p>
          <w:p w14:paraId="67501C7E" w14:textId="40FDE225" w:rsidR="009317A7" w:rsidRPr="00D16B79" w:rsidRDefault="009317A7" w:rsidP="009317A7">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i/>
                <w:iCs/>
                <w:sz w:val="20"/>
                <w:szCs w:val="20"/>
                <w:lang w:val="en-US"/>
              </w:rPr>
              <w:t>Gap size</w:t>
            </w:r>
          </w:p>
        </w:tc>
        <w:tc>
          <w:tcPr>
            <w:tcW w:w="7088" w:type="dxa"/>
            <w:gridSpan w:val="34"/>
            <w:tcBorders>
              <w:top w:val="single" w:sz="12" w:space="0" w:color="auto"/>
              <w:bottom w:val="single" w:sz="4" w:space="0" w:color="A5A5A5"/>
            </w:tcBorders>
          </w:tcPr>
          <w:p w14:paraId="66D97996" w14:textId="77777777" w:rsidR="009317A7" w:rsidRPr="00D16B79" w:rsidRDefault="009317A7" w:rsidP="009317A7">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Tests different combinations of gaps between the two charities.</w:t>
            </w:r>
          </w:p>
          <w:p w14:paraId="4526BC22" w14:textId="77777777" w:rsidR="009317A7" w:rsidRDefault="00DE26D1" w:rsidP="009317A7">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 xml:space="preserve">DV: £100 lottery distributed between charities and </w:t>
            </w:r>
            <w:r w:rsidR="001710EE" w:rsidRPr="00D16B79">
              <w:rPr>
                <w:rFonts w:ascii="Times New Roman" w:hAnsi="Times New Roman"/>
                <w:sz w:val="20"/>
                <w:szCs w:val="20"/>
                <w:lang w:val="en-US"/>
              </w:rPr>
              <w:t>the self</w:t>
            </w:r>
            <w:r w:rsidRPr="00D16B79">
              <w:rPr>
                <w:rFonts w:ascii="Times New Roman" w:hAnsi="Times New Roman"/>
                <w:sz w:val="20"/>
                <w:szCs w:val="20"/>
                <w:lang w:val="en-US"/>
              </w:rPr>
              <w:t xml:space="preserve">. </w:t>
            </w:r>
            <w:r w:rsidR="009317A7" w:rsidRPr="00D16B79">
              <w:rPr>
                <w:rFonts w:ascii="Times New Roman" w:hAnsi="Times New Roman"/>
                <w:sz w:val="20"/>
                <w:szCs w:val="20"/>
                <w:lang w:val="en-US"/>
              </w:rPr>
              <w:t>Pre-registered.</w:t>
            </w:r>
          </w:p>
          <w:p w14:paraId="0761EDD6" w14:textId="7A0C2C6E" w:rsidR="00C823D0" w:rsidRPr="00D16B79" w:rsidRDefault="00C823D0" w:rsidP="009317A7">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4 (Gap size: 80% vs. 60% vs. 40% vs. 20%)</w:t>
            </w:r>
          </w:p>
        </w:tc>
      </w:tr>
      <w:tr w:rsidR="009F08DE" w:rsidRPr="00D16B79" w14:paraId="7C05DBCF" w14:textId="77777777" w:rsidTr="00953EC7">
        <w:trPr>
          <w:gridAfter w:val="1"/>
          <w:wAfter w:w="17" w:type="dxa"/>
        </w:trPr>
        <w:tc>
          <w:tcPr>
            <w:tcW w:w="2245" w:type="dxa"/>
            <w:vMerge w:val="restart"/>
          </w:tcPr>
          <w:p w14:paraId="1CBD6763" w14:textId="77777777" w:rsidR="009317A7" w:rsidRPr="00D16B79" w:rsidRDefault="009317A7" w:rsidP="009317A7">
            <w:pPr>
              <w:autoSpaceDE w:val="0"/>
              <w:autoSpaceDN w:val="0"/>
              <w:adjustRightInd w:val="0"/>
              <w:spacing w:line="216" w:lineRule="auto"/>
              <w:rPr>
                <w:rFonts w:ascii="Times New Roman" w:hAnsi="Times New Roman"/>
                <w:sz w:val="20"/>
                <w:szCs w:val="20"/>
                <w:lang w:val="en-US"/>
              </w:rPr>
            </w:pPr>
          </w:p>
        </w:tc>
        <w:tc>
          <w:tcPr>
            <w:tcW w:w="1837" w:type="dxa"/>
            <w:gridSpan w:val="7"/>
          </w:tcPr>
          <w:p w14:paraId="2933EFF2" w14:textId="4E0D35A6" w:rsidR="009317A7" w:rsidRPr="00D16B79" w:rsidRDefault="009317A7" w:rsidP="009317A7">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80%</w:t>
            </w:r>
          </w:p>
        </w:tc>
        <w:tc>
          <w:tcPr>
            <w:tcW w:w="1750" w:type="dxa"/>
            <w:gridSpan w:val="10"/>
          </w:tcPr>
          <w:p w14:paraId="4888EC7B" w14:textId="6BCFF526" w:rsidR="009317A7" w:rsidRPr="00D16B79" w:rsidRDefault="009317A7" w:rsidP="009317A7">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60%</w:t>
            </w:r>
          </w:p>
        </w:tc>
        <w:tc>
          <w:tcPr>
            <w:tcW w:w="1751" w:type="dxa"/>
            <w:gridSpan w:val="11"/>
          </w:tcPr>
          <w:p w14:paraId="47E51528" w14:textId="23FC9676" w:rsidR="009317A7" w:rsidRPr="00D16B79" w:rsidRDefault="009317A7" w:rsidP="009317A7">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40%</w:t>
            </w:r>
          </w:p>
        </w:tc>
        <w:tc>
          <w:tcPr>
            <w:tcW w:w="1750" w:type="dxa"/>
            <w:gridSpan w:val="6"/>
          </w:tcPr>
          <w:p w14:paraId="3A697DA4" w14:textId="2C24F6D3" w:rsidR="009317A7" w:rsidRPr="00D16B79" w:rsidRDefault="009317A7" w:rsidP="009317A7">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20%</w:t>
            </w:r>
          </w:p>
        </w:tc>
      </w:tr>
      <w:tr w:rsidR="00953EC7" w:rsidRPr="00D16B79" w14:paraId="1849BC0A" w14:textId="77777777" w:rsidTr="00953EC7">
        <w:trPr>
          <w:gridAfter w:val="1"/>
          <w:wAfter w:w="17" w:type="dxa"/>
        </w:trPr>
        <w:tc>
          <w:tcPr>
            <w:tcW w:w="2245" w:type="dxa"/>
            <w:vMerge/>
          </w:tcPr>
          <w:p w14:paraId="07CE8F3C" w14:textId="77777777" w:rsidR="00101F12" w:rsidRPr="00D16B79" w:rsidRDefault="00101F12" w:rsidP="00101F12">
            <w:pPr>
              <w:autoSpaceDE w:val="0"/>
              <w:autoSpaceDN w:val="0"/>
              <w:adjustRightInd w:val="0"/>
              <w:spacing w:line="216" w:lineRule="auto"/>
              <w:rPr>
                <w:rFonts w:ascii="Times New Roman" w:hAnsi="Times New Roman"/>
                <w:sz w:val="20"/>
                <w:szCs w:val="20"/>
                <w:lang w:val="en-US"/>
              </w:rPr>
            </w:pPr>
          </w:p>
        </w:tc>
        <w:tc>
          <w:tcPr>
            <w:tcW w:w="962" w:type="dxa"/>
            <w:gridSpan w:val="3"/>
          </w:tcPr>
          <w:p w14:paraId="1A59AE2A" w14:textId="211DBAD8"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5" w:type="dxa"/>
            <w:gridSpan w:val="4"/>
          </w:tcPr>
          <w:p w14:paraId="7D7B5207" w14:textId="0C95C12C"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6" w:type="dxa"/>
            <w:gridSpan w:val="5"/>
          </w:tcPr>
          <w:p w14:paraId="7F06CF66" w14:textId="68205A26"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4" w:type="dxa"/>
            <w:gridSpan w:val="5"/>
          </w:tcPr>
          <w:p w14:paraId="434F7BCF" w14:textId="3C2F413E"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3" w:type="dxa"/>
            <w:gridSpan w:val="5"/>
          </w:tcPr>
          <w:p w14:paraId="5B4D827F" w14:textId="7F601447"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8" w:type="dxa"/>
            <w:gridSpan w:val="6"/>
          </w:tcPr>
          <w:p w14:paraId="47943B38" w14:textId="50492950"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874" w:type="dxa"/>
            <w:gridSpan w:val="4"/>
          </w:tcPr>
          <w:p w14:paraId="1CB0C191" w14:textId="4997DD18"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76" w:type="dxa"/>
            <w:gridSpan w:val="2"/>
          </w:tcPr>
          <w:p w14:paraId="43FE9292" w14:textId="2B6183A1"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r>
      <w:tr w:rsidR="00953EC7" w:rsidRPr="00D16B79" w14:paraId="03B67746" w14:textId="77777777" w:rsidTr="00953EC7">
        <w:trPr>
          <w:gridAfter w:val="1"/>
          <w:wAfter w:w="17" w:type="dxa"/>
        </w:trPr>
        <w:tc>
          <w:tcPr>
            <w:tcW w:w="2245" w:type="dxa"/>
          </w:tcPr>
          <w:p w14:paraId="5FBF8CAB" w14:textId="5BBD9F2D" w:rsidR="00101F12" w:rsidRPr="00D16B79" w:rsidRDefault="00101F12" w:rsidP="00101F12">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962" w:type="dxa"/>
            <w:gridSpan w:val="3"/>
          </w:tcPr>
          <w:p w14:paraId="52846F6F" w14:textId="149061A2"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16.80</w:t>
            </w:r>
          </w:p>
        </w:tc>
        <w:tc>
          <w:tcPr>
            <w:tcW w:w="875" w:type="dxa"/>
            <w:gridSpan w:val="4"/>
          </w:tcPr>
          <w:p w14:paraId="3DB3E412" w14:textId="01FE46FE"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31.06</w:t>
            </w:r>
          </w:p>
        </w:tc>
        <w:tc>
          <w:tcPr>
            <w:tcW w:w="876" w:type="dxa"/>
            <w:gridSpan w:val="5"/>
          </w:tcPr>
          <w:p w14:paraId="39414BD9" w14:textId="12F62829"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27.23</w:t>
            </w:r>
          </w:p>
        </w:tc>
        <w:tc>
          <w:tcPr>
            <w:tcW w:w="874" w:type="dxa"/>
            <w:gridSpan w:val="5"/>
          </w:tcPr>
          <w:p w14:paraId="19079E59" w14:textId="086F74FB"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34.25</w:t>
            </w:r>
          </w:p>
        </w:tc>
        <w:tc>
          <w:tcPr>
            <w:tcW w:w="873" w:type="dxa"/>
            <w:gridSpan w:val="5"/>
          </w:tcPr>
          <w:p w14:paraId="54527FFE" w14:textId="4CC87D4D"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26.88</w:t>
            </w:r>
          </w:p>
        </w:tc>
        <w:tc>
          <w:tcPr>
            <w:tcW w:w="878" w:type="dxa"/>
            <w:gridSpan w:val="6"/>
          </w:tcPr>
          <w:p w14:paraId="7C050DEF" w14:textId="244A43C5"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29.65</w:t>
            </w:r>
          </w:p>
        </w:tc>
        <w:tc>
          <w:tcPr>
            <w:tcW w:w="874" w:type="dxa"/>
            <w:gridSpan w:val="4"/>
          </w:tcPr>
          <w:p w14:paraId="68F481C8" w14:textId="0D86BD53"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29.98</w:t>
            </w:r>
          </w:p>
        </w:tc>
        <w:tc>
          <w:tcPr>
            <w:tcW w:w="876" w:type="dxa"/>
            <w:gridSpan w:val="2"/>
          </w:tcPr>
          <w:p w14:paraId="0723CE85" w14:textId="4C10B409" w:rsidR="00101F12" w:rsidRPr="00D16B79" w:rsidRDefault="00101F12" w:rsidP="00101F12">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27.66</w:t>
            </w:r>
          </w:p>
        </w:tc>
      </w:tr>
      <w:bookmarkEnd w:id="6"/>
      <w:tr w:rsidR="00100712" w:rsidRPr="00D16B79" w14:paraId="29A58C65" w14:textId="77777777" w:rsidTr="00953EC7">
        <w:trPr>
          <w:gridAfter w:val="1"/>
          <w:wAfter w:w="17" w:type="dxa"/>
          <w:trHeight w:val="624"/>
        </w:trPr>
        <w:tc>
          <w:tcPr>
            <w:tcW w:w="2245" w:type="dxa"/>
            <w:tcBorders>
              <w:top w:val="single" w:sz="12" w:space="0" w:color="auto"/>
            </w:tcBorders>
          </w:tcPr>
          <w:p w14:paraId="11EC420C" w14:textId="2FCE9026" w:rsidR="00100712" w:rsidRPr="00D16B79" w:rsidRDefault="00B9494B" w:rsidP="00C21AB1">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 xml:space="preserve">Study </w:t>
            </w:r>
            <w:r w:rsidR="00036ABF" w:rsidRPr="00D16B79">
              <w:rPr>
                <w:rFonts w:ascii="Times New Roman" w:hAnsi="Times New Roman"/>
                <w:b/>
                <w:bCs/>
                <w:sz w:val="20"/>
                <w:szCs w:val="20"/>
                <w:lang w:val="en-US"/>
              </w:rPr>
              <w:t>5B</w:t>
            </w:r>
          </w:p>
          <w:p w14:paraId="2FAE9303" w14:textId="77777777" w:rsidR="00100712" w:rsidRPr="00D16B79" w:rsidRDefault="00100712" w:rsidP="00C21AB1">
            <w:pPr>
              <w:autoSpaceDE w:val="0"/>
              <w:autoSpaceDN w:val="0"/>
              <w:adjustRightInd w:val="0"/>
              <w:spacing w:line="216" w:lineRule="auto"/>
              <w:rPr>
                <w:rFonts w:ascii="Times New Roman" w:hAnsi="Times New Roman"/>
                <w:i/>
                <w:iCs/>
                <w:sz w:val="20"/>
                <w:szCs w:val="20"/>
                <w:lang w:val="en-US"/>
              </w:rPr>
            </w:pPr>
            <w:r w:rsidRPr="00D16B79">
              <w:rPr>
                <w:rFonts w:ascii="Times New Roman" w:hAnsi="Times New Roman"/>
                <w:i/>
                <w:iCs/>
                <w:sz w:val="20"/>
                <w:szCs w:val="20"/>
                <w:lang w:val="en-US"/>
              </w:rPr>
              <w:t>Tipping Point</w:t>
            </w:r>
          </w:p>
        </w:tc>
        <w:tc>
          <w:tcPr>
            <w:tcW w:w="7088" w:type="dxa"/>
            <w:gridSpan w:val="34"/>
            <w:tcBorders>
              <w:top w:val="single" w:sz="12" w:space="0" w:color="auto"/>
            </w:tcBorders>
          </w:tcPr>
          <w:p w14:paraId="574AACF6" w14:textId="77777777" w:rsidR="00100712" w:rsidRPr="00D16B79" w:rsidRDefault="00100712" w:rsidP="00C21AB1">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Robust to tipping points (H1). Consequential donation design.</w:t>
            </w:r>
          </w:p>
          <w:p w14:paraId="66DA2F28" w14:textId="77777777" w:rsidR="00100712" w:rsidRPr="00D16B79" w:rsidRDefault="00100712" w:rsidP="00C21AB1">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 xml:space="preserve">Shows mediation through need but not warmth, competence, or impact (H2). </w:t>
            </w:r>
          </w:p>
          <w:p w14:paraId="784749D8" w14:textId="77777777" w:rsidR="00100712" w:rsidRDefault="00100712" w:rsidP="00C21AB1">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Pre-registered.</w:t>
            </w:r>
          </w:p>
          <w:p w14:paraId="5B5010E8" w14:textId="61E8D522" w:rsidR="00FB06DC" w:rsidRPr="00D16B79" w:rsidRDefault="00FB06DC" w:rsidP="00C21AB1">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2 (Goal progress: high progress vs. tipping point)</w:t>
            </w:r>
          </w:p>
        </w:tc>
      </w:tr>
      <w:tr w:rsidR="00100712" w:rsidRPr="00D16B79" w14:paraId="4CBAABE2" w14:textId="77777777" w:rsidTr="00953EC7">
        <w:trPr>
          <w:gridAfter w:val="1"/>
          <w:wAfter w:w="17" w:type="dxa"/>
        </w:trPr>
        <w:tc>
          <w:tcPr>
            <w:tcW w:w="2245" w:type="dxa"/>
          </w:tcPr>
          <w:p w14:paraId="60E59014" w14:textId="77777777" w:rsidR="00100712" w:rsidRPr="00D16B79" w:rsidRDefault="00100712" w:rsidP="00C071EF">
            <w:pPr>
              <w:autoSpaceDE w:val="0"/>
              <w:autoSpaceDN w:val="0"/>
              <w:adjustRightInd w:val="0"/>
              <w:spacing w:line="216" w:lineRule="auto"/>
              <w:rPr>
                <w:rFonts w:ascii="Times New Roman" w:hAnsi="Times New Roman"/>
                <w:sz w:val="20"/>
                <w:szCs w:val="20"/>
                <w:lang w:val="en-US"/>
              </w:rPr>
            </w:pPr>
          </w:p>
        </w:tc>
        <w:tc>
          <w:tcPr>
            <w:tcW w:w="3587" w:type="dxa"/>
            <w:gridSpan w:val="17"/>
          </w:tcPr>
          <w:p w14:paraId="61D541E7"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High progress ($2700 out of $3000)</w:t>
            </w:r>
          </w:p>
        </w:tc>
        <w:tc>
          <w:tcPr>
            <w:tcW w:w="3501" w:type="dxa"/>
            <w:gridSpan w:val="17"/>
          </w:tcPr>
          <w:p w14:paraId="4D4E37AC"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Tipping point ($2930 out of $3000)</w:t>
            </w:r>
          </w:p>
        </w:tc>
      </w:tr>
      <w:tr w:rsidR="009F08DE" w:rsidRPr="00D16B79" w14:paraId="5F48858F" w14:textId="77777777" w:rsidTr="00953EC7">
        <w:trPr>
          <w:gridAfter w:val="1"/>
          <w:wAfter w:w="17" w:type="dxa"/>
        </w:trPr>
        <w:tc>
          <w:tcPr>
            <w:tcW w:w="2245" w:type="dxa"/>
          </w:tcPr>
          <w:p w14:paraId="3060D43F" w14:textId="77777777" w:rsidR="00100712" w:rsidRPr="00D16B79" w:rsidRDefault="00100712" w:rsidP="00C071EF">
            <w:pPr>
              <w:autoSpaceDE w:val="0"/>
              <w:autoSpaceDN w:val="0"/>
              <w:adjustRightInd w:val="0"/>
              <w:spacing w:line="216" w:lineRule="auto"/>
              <w:rPr>
                <w:rFonts w:ascii="Times New Roman" w:hAnsi="Times New Roman"/>
                <w:sz w:val="20"/>
                <w:szCs w:val="20"/>
                <w:lang w:val="en-US"/>
              </w:rPr>
            </w:pPr>
          </w:p>
        </w:tc>
        <w:tc>
          <w:tcPr>
            <w:tcW w:w="1837" w:type="dxa"/>
            <w:gridSpan w:val="7"/>
          </w:tcPr>
          <w:p w14:paraId="0DBB31E2"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 to Goal</w:t>
            </w:r>
          </w:p>
        </w:tc>
        <w:tc>
          <w:tcPr>
            <w:tcW w:w="1750" w:type="dxa"/>
            <w:gridSpan w:val="10"/>
          </w:tcPr>
          <w:p w14:paraId="61755908"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 from Goal</w:t>
            </w:r>
          </w:p>
        </w:tc>
        <w:tc>
          <w:tcPr>
            <w:tcW w:w="1751" w:type="dxa"/>
            <w:gridSpan w:val="11"/>
          </w:tcPr>
          <w:p w14:paraId="6DE56F01"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 to Goal</w:t>
            </w:r>
          </w:p>
        </w:tc>
        <w:tc>
          <w:tcPr>
            <w:tcW w:w="1750" w:type="dxa"/>
            <w:gridSpan w:val="6"/>
          </w:tcPr>
          <w:p w14:paraId="15E0772C"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 from Goal</w:t>
            </w:r>
          </w:p>
        </w:tc>
      </w:tr>
      <w:tr w:rsidR="009F08DE" w:rsidRPr="00D16B79" w14:paraId="08C9581F" w14:textId="77777777" w:rsidTr="00953EC7">
        <w:trPr>
          <w:gridAfter w:val="1"/>
          <w:wAfter w:w="17" w:type="dxa"/>
        </w:trPr>
        <w:tc>
          <w:tcPr>
            <w:tcW w:w="2245" w:type="dxa"/>
          </w:tcPr>
          <w:p w14:paraId="7C38B016" w14:textId="77777777" w:rsidR="00100712" w:rsidRPr="00D16B79" w:rsidRDefault="00100712" w:rsidP="00C071EF">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1837" w:type="dxa"/>
            <w:gridSpan w:val="7"/>
          </w:tcPr>
          <w:p w14:paraId="25C846D6"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43.21</w:t>
            </w:r>
          </w:p>
        </w:tc>
        <w:tc>
          <w:tcPr>
            <w:tcW w:w="1750" w:type="dxa"/>
            <w:gridSpan w:val="10"/>
          </w:tcPr>
          <w:p w14:paraId="0F52498D"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56.79</w:t>
            </w:r>
          </w:p>
        </w:tc>
        <w:tc>
          <w:tcPr>
            <w:tcW w:w="1751" w:type="dxa"/>
            <w:gridSpan w:val="11"/>
          </w:tcPr>
          <w:p w14:paraId="62DC567A"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35.86</w:t>
            </w:r>
          </w:p>
        </w:tc>
        <w:tc>
          <w:tcPr>
            <w:tcW w:w="1750" w:type="dxa"/>
            <w:gridSpan w:val="6"/>
          </w:tcPr>
          <w:p w14:paraId="39EE5F43" w14:textId="77777777" w:rsidR="00100712" w:rsidRPr="00D16B79" w:rsidRDefault="00100712" w:rsidP="00C071EF">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64.14</w:t>
            </w:r>
          </w:p>
        </w:tc>
      </w:tr>
      <w:tr w:rsidR="00F72729" w:rsidRPr="00D16B79" w14:paraId="3EFA15D5" w14:textId="77777777" w:rsidTr="00D912B2">
        <w:trPr>
          <w:gridAfter w:val="1"/>
          <w:wAfter w:w="17" w:type="dxa"/>
          <w:trHeight w:val="411"/>
        </w:trPr>
        <w:tc>
          <w:tcPr>
            <w:tcW w:w="2245" w:type="dxa"/>
            <w:tcBorders>
              <w:top w:val="single" w:sz="12" w:space="0" w:color="auto"/>
            </w:tcBorders>
          </w:tcPr>
          <w:p w14:paraId="6B2433AA" w14:textId="77777777" w:rsidR="00F72729" w:rsidRPr="00D16B79" w:rsidRDefault="00F72729" w:rsidP="00F72729">
            <w:pPr>
              <w:autoSpaceDE w:val="0"/>
              <w:autoSpaceDN w:val="0"/>
              <w:adjustRightInd w:val="0"/>
              <w:spacing w:line="216" w:lineRule="auto"/>
              <w:rPr>
                <w:rFonts w:ascii="Times New Roman" w:hAnsi="Times New Roman"/>
                <w:b/>
                <w:sz w:val="20"/>
                <w:szCs w:val="20"/>
                <w:lang w:val="en-US"/>
              </w:rPr>
            </w:pPr>
            <w:r w:rsidRPr="00D16B79">
              <w:rPr>
                <w:rFonts w:ascii="Times New Roman" w:hAnsi="Times New Roman"/>
                <w:b/>
                <w:sz w:val="20"/>
                <w:szCs w:val="20"/>
                <w:lang w:val="en-US"/>
              </w:rPr>
              <w:t>Study 6</w:t>
            </w:r>
          </w:p>
          <w:p w14:paraId="2F6FA497" w14:textId="66DEEE87"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i/>
                <w:sz w:val="20"/>
                <w:szCs w:val="20"/>
                <w:lang w:val="en-US"/>
              </w:rPr>
              <w:t>Kiva Study</w:t>
            </w:r>
          </w:p>
        </w:tc>
        <w:tc>
          <w:tcPr>
            <w:tcW w:w="7088" w:type="dxa"/>
            <w:gridSpan w:val="34"/>
            <w:tcBorders>
              <w:top w:val="single" w:sz="12" w:space="0" w:color="auto"/>
            </w:tcBorders>
          </w:tcPr>
          <w:p w14:paraId="16D561D4" w14:textId="509E2A9D"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Dataset with over 10,000 crowdfunding projects at varying levels of progress.</w:t>
            </w:r>
          </w:p>
          <w:p w14:paraId="6909FB49" w14:textId="7AF943D4"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Negative coefficient shows that funds decrease as progress increases</w:t>
            </w:r>
            <w:r w:rsidR="00025DDA">
              <w:rPr>
                <w:rFonts w:ascii="Times New Roman" w:hAnsi="Times New Roman"/>
                <w:sz w:val="20"/>
                <w:szCs w:val="20"/>
                <w:lang w:val="en-US"/>
              </w:rPr>
              <w:t xml:space="preserve"> (while controlling for confounding factors such as display order)</w:t>
            </w:r>
            <w:r w:rsidRPr="00D16B79">
              <w:rPr>
                <w:rFonts w:ascii="Times New Roman" w:hAnsi="Times New Roman"/>
                <w:sz w:val="20"/>
                <w:szCs w:val="20"/>
                <w:lang w:val="en-US"/>
              </w:rPr>
              <w:t>.</w:t>
            </w:r>
          </w:p>
        </w:tc>
      </w:tr>
      <w:tr w:rsidR="009F08DE" w:rsidRPr="00D16B79" w14:paraId="78A1F3AD" w14:textId="77777777" w:rsidTr="00953EC7">
        <w:trPr>
          <w:gridAfter w:val="1"/>
          <w:wAfter w:w="17" w:type="dxa"/>
        </w:trPr>
        <w:tc>
          <w:tcPr>
            <w:tcW w:w="2245" w:type="dxa"/>
          </w:tcPr>
          <w:p w14:paraId="1231DCA1"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1837" w:type="dxa"/>
            <w:gridSpan w:val="7"/>
          </w:tcPr>
          <w:p w14:paraId="1DE9D65F" w14:textId="1E509ED2"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All samples</w:t>
            </w:r>
          </w:p>
        </w:tc>
        <w:tc>
          <w:tcPr>
            <w:tcW w:w="1750" w:type="dxa"/>
            <w:gridSpan w:val="10"/>
          </w:tcPr>
          <w:p w14:paraId="773AC9EE"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Low Progress</w:t>
            </w:r>
          </w:p>
          <w:p w14:paraId="2ED1B1BC" w14:textId="0D1A35DC"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&lt; 33%</w:t>
            </w:r>
          </w:p>
        </w:tc>
        <w:tc>
          <w:tcPr>
            <w:tcW w:w="1751" w:type="dxa"/>
            <w:gridSpan w:val="11"/>
          </w:tcPr>
          <w:p w14:paraId="09F71037"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Medium Progress</w:t>
            </w:r>
          </w:p>
          <w:p w14:paraId="3D9C4E1E" w14:textId="07BCB878"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33 – 66%</w:t>
            </w:r>
          </w:p>
        </w:tc>
        <w:tc>
          <w:tcPr>
            <w:tcW w:w="1750" w:type="dxa"/>
            <w:gridSpan w:val="6"/>
          </w:tcPr>
          <w:p w14:paraId="6FC8B005"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High Progress</w:t>
            </w:r>
          </w:p>
          <w:p w14:paraId="306DA00E" w14:textId="25A38FEE"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&gt; 66%</w:t>
            </w:r>
          </w:p>
        </w:tc>
      </w:tr>
      <w:tr w:rsidR="009F08DE" w:rsidRPr="00D16B79" w14:paraId="7F7EC7E3" w14:textId="77777777" w:rsidTr="00953EC7">
        <w:trPr>
          <w:gridAfter w:val="1"/>
          <w:wAfter w:w="17" w:type="dxa"/>
        </w:trPr>
        <w:tc>
          <w:tcPr>
            <w:tcW w:w="2245" w:type="dxa"/>
          </w:tcPr>
          <w:p w14:paraId="5989F3BD" w14:textId="2C6E8C3E"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eastAsia="Times New Roman" w:hAnsi="Times New Roman"/>
                <w:bCs/>
                <w:sz w:val="20"/>
                <w:szCs w:val="20"/>
                <w:lang w:val="en-US"/>
              </w:rPr>
              <w:t>log(1+</w:t>
            </w:r>
            <w:r w:rsidRPr="00D16B79">
              <w:rPr>
                <w:rFonts w:eastAsia="Cambria"/>
                <w:bCs/>
                <w:i/>
                <w:iCs/>
                <w:sz w:val="20"/>
                <w:szCs w:val="20"/>
                <w:lang w:val="en-US"/>
              </w:rPr>
              <w:t xml:space="preserve"> Progress</w:t>
            </w:r>
            <w:r w:rsidRPr="00D16B79">
              <w:rPr>
                <w:rFonts w:eastAsia="Cambria"/>
                <w:bCs/>
                <w:i/>
                <w:iCs/>
                <w:sz w:val="20"/>
                <w:szCs w:val="20"/>
                <w:vertAlign w:val="subscript"/>
                <w:lang w:val="en-US"/>
              </w:rPr>
              <w:t>j,t-1</w:t>
            </w:r>
            <w:r w:rsidRPr="00D16B79">
              <w:rPr>
                <w:rFonts w:ascii="Times New Roman" w:eastAsia="Times New Roman" w:hAnsi="Times New Roman"/>
                <w:bCs/>
                <w:sz w:val="20"/>
                <w:szCs w:val="20"/>
                <w:lang w:val="en-US"/>
              </w:rPr>
              <w:t>)</w:t>
            </w:r>
          </w:p>
        </w:tc>
        <w:tc>
          <w:tcPr>
            <w:tcW w:w="1837" w:type="dxa"/>
            <w:gridSpan w:val="7"/>
          </w:tcPr>
          <w:p w14:paraId="1C58888C" w14:textId="602C41EB" w:rsidR="00F72729" w:rsidRPr="00D16B79" w:rsidRDefault="00F72729" w:rsidP="00F72729">
            <w:pPr>
              <w:spacing w:afterLines="24" w:after="57" w:line="216" w:lineRule="auto"/>
              <w:jc w:val="center"/>
              <w:rPr>
                <w:rFonts w:ascii="Times New Roman" w:eastAsia="Times New Roman" w:hAnsi="Times New Roman"/>
                <w:sz w:val="20"/>
                <w:szCs w:val="20"/>
                <w:lang w:val="en-US"/>
              </w:rPr>
            </w:pPr>
            <w:r w:rsidRPr="00D16B79">
              <w:rPr>
                <w:rFonts w:ascii="Times New Roman" w:eastAsia="Times New Roman" w:hAnsi="Times New Roman"/>
                <w:sz w:val="20"/>
                <w:szCs w:val="20"/>
                <w:lang w:val="en-US"/>
              </w:rPr>
              <w:t>-0.021***</w:t>
            </w:r>
          </w:p>
        </w:tc>
        <w:tc>
          <w:tcPr>
            <w:tcW w:w="1750" w:type="dxa"/>
            <w:gridSpan w:val="10"/>
          </w:tcPr>
          <w:p w14:paraId="0B7B26D3" w14:textId="4F791500" w:rsidR="00F72729" w:rsidRPr="00D16B79" w:rsidRDefault="00F72729" w:rsidP="00F72729">
            <w:pPr>
              <w:spacing w:afterLines="24" w:after="57" w:line="216" w:lineRule="auto"/>
              <w:jc w:val="center"/>
              <w:rPr>
                <w:rFonts w:ascii="Times New Roman" w:eastAsia="Times New Roman" w:hAnsi="Times New Roman"/>
                <w:sz w:val="20"/>
                <w:szCs w:val="20"/>
                <w:lang w:val="en-US"/>
              </w:rPr>
            </w:pPr>
            <w:r w:rsidRPr="00D16B79">
              <w:rPr>
                <w:rFonts w:ascii="Times New Roman" w:eastAsia="Times New Roman" w:hAnsi="Times New Roman"/>
                <w:sz w:val="20"/>
                <w:szCs w:val="20"/>
                <w:lang w:val="en-US"/>
              </w:rPr>
              <w:t>-0.033***</w:t>
            </w:r>
          </w:p>
        </w:tc>
        <w:tc>
          <w:tcPr>
            <w:tcW w:w="1751" w:type="dxa"/>
            <w:gridSpan w:val="11"/>
          </w:tcPr>
          <w:p w14:paraId="0E8D1677" w14:textId="4BD444F6" w:rsidR="00F72729" w:rsidRPr="00D16B79" w:rsidRDefault="00F72729" w:rsidP="00F72729">
            <w:pPr>
              <w:spacing w:afterLines="24" w:after="57" w:line="216" w:lineRule="auto"/>
              <w:jc w:val="center"/>
              <w:rPr>
                <w:rFonts w:ascii="Times New Roman" w:eastAsia="Times New Roman" w:hAnsi="Times New Roman"/>
                <w:sz w:val="20"/>
                <w:szCs w:val="20"/>
                <w:lang w:val="en-US"/>
              </w:rPr>
            </w:pPr>
            <w:r w:rsidRPr="00D16B79">
              <w:rPr>
                <w:rFonts w:ascii="Times New Roman" w:eastAsia="Times New Roman" w:hAnsi="Times New Roman"/>
                <w:sz w:val="20"/>
                <w:szCs w:val="20"/>
                <w:lang w:val="en-US"/>
              </w:rPr>
              <w:t>-0.039***</w:t>
            </w:r>
          </w:p>
        </w:tc>
        <w:tc>
          <w:tcPr>
            <w:tcW w:w="1750" w:type="dxa"/>
            <w:gridSpan w:val="6"/>
          </w:tcPr>
          <w:p w14:paraId="55A39458" w14:textId="56F83B46" w:rsidR="00F72729" w:rsidRPr="00D16B79" w:rsidRDefault="00F72729" w:rsidP="00F72729">
            <w:pPr>
              <w:spacing w:afterLines="24" w:after="57" w:line="216" w:lineRule="auto"/>
              <w:jc w:val="center"/>
              <w:rPr>
                <w:rFonts w:ascii="Times New Roman" w:eastAsia="Times New Roman" w:hAnsi="Times New Roman"/>
                <w:sz w:val="20"/>
                <w:szCs w:val="20"/>
                <w:lang w:val="en-US"/>
              </w:rPr>
            </w:pPr>
            <w:r w:rsidRPr="00D16B79">
              <w:rPr>
                <w:rFonts w:ascii="Times New Roman" w:eastAsia="Times New Roman" w:hAnsi="Times New Roman"/>
                <w:sz w:val="20"/>
                <w:szCs w:val="20"/>
                <w:lang w:val="en-US"/>
              </w:rPr>
              <w:t>-0.189***</w:t>
            </w:r>
          </w:p>
        </w:tc>
      </w:tr>
      <w:tr w:rsidR="00953EC7" w:rsidRPr="00D16B79" w14:paraId="080E95A5" w14:textId="77777777" w:rsidTr="00953EC7">
        <w:trPr>
          <w:gridAfter w:val="1"/>
          <w:wAfter w:w="17" w:type="dxa"/>
        </w:trPr>
        <w:tc>
          <w:tcPr>
            <w:tcW w:w="2245" w:type="dxa"/>
            <w:shd w:val="clear" w:color="auto" w:fill="A6A6A6" w:themeFill="background1" w:themeFillShade="A6"/>
          </w:tcPr>
          <w:p w14:paraId="4CD7BE3B"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723" w:type="dxa"/>
            <w:shd w:val="clear" w:color="auto" w:fill="A6A6A6" w:themeFill="background1" w:themeFillShade="A6"/>
          </w:tcPr>
          <w:p w14:paraId="0BA9AE96"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884" w:type="dxa"/>
            <w:gridSpan w:val="4"/>
            <w:shd w:val="clear" w:color="auto" w:fill="A6A6A6" w:themeFill="background1" w:themeFillShade="A6"/>
          </w:tcPr>
          <w:p w14:paraId="079B66BE"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670" w:type="dxa"/>
            <w:gridSpan w:val="4"/>
            <w:shd w:val="clear" w:color="auto" w:fill="A6A6A6" w:themeFill="background1" w:themeFillShade="A6"/>
          </w:tcPr>
          <w:p w14:paraId="6FC14DFA"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891" w:type="dxa"/>
            <w:gridSpan w:val="7"/>
            <w:shd w:val="clear" w:color="auto" w:fill="A6A6A6" w:themeFill="background1" w:themeFillShade="A6"/>
          </w:tcPr>
          <w:p w14:paraId="65D9708C"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1036" w:type="dxa"/>
            <w:gridSpan w:val="5"/>
            <w:shd w:val="clear" w:color="auto" w:fill="A6A6A6" w:themeFill="background1" w:themeFillShade="A6"/>
          </w:tcPr>
          <w:p w14:paraId="61BF871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741" w:type="dxa"/>
            <w:gridSpan w:val="5"/>
            <w:shd w:val="clear" w:color="auto" w:fill="A6A6A6" w:themeFill="background1" w:themeFillShade="A6"/>
          </w:tcPr>
          <w:p w14:paraId="0BAE9490"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1104" w:type="dxa"/>
            <w:gridSpan w:val="5"/>
            <w:shd w:val="clear" w:color="auto" w:fill="A6A6A6" w:themeFill="background1" w:themeFillShade="A6"/>
          </w:tcPr>
          <w:p w14:paraId="438620E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c>
          <w:tcPr>
            <w:tcW w:w="1039" w:type="dxa"/>
            <w:gridSpan w:val="3"/>
            <w:shd w:val="clear" w:color="auto" w:fill="A6A6A6" w:themeFill="background1" w:themeFillShade="A6"/>
          </w:tcPr>
          <w:p w14:paraId="0BA9B197"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p>
        </w:tc>
      </w:tr>
      <w:tr w:rsidR="00F72729" w:rsidRPr="00025DDA" w14:paraId="709E1DD3" w14:textId="77777777" w:rsidTr="00953EC7">
        <w:trPr>
          <w:gridAfter w:val="1"/>
          <w:wAfter w:w="17" w:type="dxa"/>
        </w:trPr>
        <w:tc>
          <w:tcPr>
            <w:tcW w:w="2245" w:type="dxa"/>
            <w:tcBorders>
              <w:top w:val="single" w:sz="12" w:space="0" w:color="auto"/>
              <w:bottom w:val="single" w:sz="4" w:space="0" w:color="A5A5A5"/>
            </w:tcBorders>
          </w:tcPr>
          <w:p w14:paraId="1A8A21BD" w14:textId="0AD209E4"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 xml:space="preserve">Supplemental Study S1 </w:t>
            </w:r>
            <w:r w:rsidRPr="00D16B79">
              <w:rPr>
                <w:rFonts w:ascii="Times New Roman" w:hAnsi="Times New Roman"/>
                <w:i/>
                <w:iCs/>
                <w:sz w:val="20"/>
                <w:szCs w:val="20"/>
                <w:lang w:val="en-US"/>
              </w:rPr>
              <w:t>JE vs</w:t>
            </w:r>
            <w:r w:rsidR="00BD0D84" w:rsidRPr="00D16B79">
              <w:rPr>
                <w:rFonts w:ascii="Times New Roman" w:hAnsi="Times New Roman"/>
                <w:i/>
                <w:iCs/>
                <w:sz w:val="20"/>
                <w:szCs w:val="20"/>
                <w:lang w:val="en-US"/>
              </w:rPr>
              <w:t>.</w:t>
            </w:r>
            <w:r w:rsidRPr="00D16B79">
              <w:rPr>
                <w:rFonts w:ascii="Times New Roman" w:hAnsi="Times New Roman"/>
                <w:i/>
                <w:iCs/>
                <w:sz w:val="20"/>
                <w:szCs w:val="20"/>
                <w:lang w:val="en-US"/>
              </w:rPr>
              <w:t xml:space="preserve"> SE Charity</w:t>
            </w:r>
          </w:p>
        </w:tc>
        <w:tc>
          <w:tcPr>
            <w:tcW w:w="7088" w:type="dxa"/>
            <w:gridSpan w:val="34"/>
            <w:tcBorders>
              <w:top w:val="single" w:sz="12" w:space="0" w:color="auto"/>
              <w:bottom w:val="single" w:sz="4" w:space="0" w:color="A5A5A5"/>
            </w:tcBorders>
          </w:tcPr>
          <w:p w14:paraId="53D0A1A4" w14:textId="00FBE2B6" w:rsidR="00F72729" w:rsidRPr="00FE40C8" w:rsidRDefault="00F72729" w:rsidP="00FE40C8">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FE40C8">
              <w:rPr>
                <w:rFonts w:ascii="Times New Roman" w:hAnsi="Times New Roman"/>
                <w:sz w:val="20"/>
                <w:szCs w:val="20"/>
                <w:lang w:val="en-US"/>
              </w:rPr>
              <w:t>Preference shift between JE and SE</w:t>
            </w:r>
            <w:r w:rsidR="00F93FE4" w:rsidRPr="00FE40C8">
              <w:rPr>
                <w:rFonts w:ascii="Times New Roman" w:hAnsi="Times New Roman"/>
                <w:sz w:val="20"/>
                <w:szCs w:val="20"/>
                <w:lang w:val="en-US"/>
              </w:rPr>
              <w:t xml:space="preserve"> (H1)</w:t>
            </w:r>
            <w:r w:rsidR="00FE40C8" w:rsidRPr="00FE40C8">
              <w:rPr>
                <w:rFonts w:ascii="Times New Roman" w:hAnsi="Times New Roman"/>
                <w:sz w:val="20"/>
                <w:szCs w:val="20"/>
                <w:lang w:val="en-US"/>
              </w:rPr>
              <w:t xml:space="preserve">, </w:t>
            </w:r>
            <w:r w:rsidR="00FE40C8">
              <w:rPr>
                <w:rFonts w:ascii="Times New Roman" w:hAnsi="Times New Roman"/>
                <w:sz w:val="20"/>
                <w:szCs w:val="20"/>
                <w:lang w:val="en-US"/>
              </w:rPr>
              <w:t>r</w:t>
            </w:r>
            <w:r w:rsidRPr="00FE40C8">
              <w:rPr>
                <w:rFonts w:ascii="Times New Roman" w:hAnsi="Times New Roman"/>
                <w:sz w:val="20"/>
                <w:szCs w:val="20"/>
                <w:lang w:val="en-US"/>
              </w:rPr>
              <w:t>eplication of Study 1.</w:t>
            </w:r>
          </w:p>
          <w:p w14:paraId="008E5D4E" w14:textId="3E46A9A0" w:rsidR="00BB7A8C" w:rsidRPr="00C32F4B" w:rsidRDefault="00BB7A8C" w:rsidP="00F72729">
            <w:pPr>
              <w:numPr>
                <w:ilvl w:val="0"/>
                <w:numId w:val="3"/>
              </w:numPr>
              <w:autoSpaceDE w:val="0"/>
              <w:autoSpaceDN w:val="0"/>
              <w:adjustRightInd w:val="0"/>
              <w:spacing w:line="216" w:lineRule="auto"/>
              <w:ind w:left="340" w:hanging="340"/>
              <w:contextualSpacing/>
              <w:rPr>
                <w:rFonts w:ascii="Times New Roman" w:hAnsi="Times New Roman"/>
                <w:sz w:val="20"/>
                <w:szCs w:val="20"/>
                <w:lang w:val="fr-FR"/>
              </w:rPr>
            </w:pPr>
            <w:r w:rsidRPr="00C32F4B">
              <w:rPr>
                <w:rFonts w:ascii="Times New Roman" w:hAnsi="Times New Roman"/>
                <w:sz w:val="20"/>
                <w:szCs w:val="20"/>
                <w:lang w:val="fr-FR"/>
              </w:rPr>
              <w:t xml:space="preserve">3 (Evaluation </w:t>
            </w:r>
            <w:proofErr w:type="gramStart"/>
            <w:r w:rsidRPr="00C32F4B">
              <w:rPr>
                <w:rFonts w:ascii="Times New Roman" w:hAnsi="Times New Roman"/>
                <w:sz w:val="20"/>
                <w:szCs w:val="20"/>
                <w:lang w:val="fr-FR"/>
              </w:rPr>
              <w:t>type:</w:t>
            </w:r>
            <w:proofErr w:type="gramEnd"/>
            <w:r w:rsidRPr="00C32F4B">
              <w:rPr>
                <w:rFonts w:ascii="Times New Roman" w:hAnsi="Times New Roman"/>
                <w:sz w:val="20"/>
                <w:szCs w:val="20"/>
                <w:lang w:val="fr-FR"/>
              </w:rPr>
              <w:t xml:space="preserve"> </w:t>
            </w:r>
            <w:r w:rsidR="00953EC7" w:rsidRPr="00C32F4B">
              <w:rPr>
                <w:rFonts w:ascii="Times New Roman" w:hAnsi="Times New Roman"/>
                <w:sz w:val="20"/>
                <w:szCs w:val="20"/>
                <w:lang w:val="fr-FR"/>
              </w:rPr>
              <w:t>JE vs. SE far vs. SE close</w:t>
            </w:r>
            <w:r w:rsidRPr="00C32F4B">
              <w:rPr>
                <w:rFonts w:ascii="Times New Roman" w:hAnsi="Times New Roman"/>
                <w:sz w:val="20"/>
                <w:szCs w:val="20"/>
                <w:lang w:val="fr-FR"/>
              </w:rPr>
              <w:t>)</w:t>
            </w:r>
          </w:p>
        </w:tc>
      </w:tr>
      <w:tr w:rsidR="009F08DE" w:rsidRPr="00D16B79" w14:paraId="0DB0BD79" w14:textId="77777777" w:rsidTr="00953EC7">
        <w:trPr>
          <w:gridAfter w:val="1"/>
          <w:wAfter w:w="17" w:type="dxa"/>
        </w:trPr>
        <w:tc>
          <w:tcPr>
            <w:tcW w:w="2245" w:type="dxa"/>
          </w:tcPr>
          <w:p w14:paraId="6034E5BE" w14:textId="77777777" w:rsidR="00F72729" w:rsidRPr="00C32F4B" w:rsidRDefault="00F72729" w:rsidP="00F72729">
            <w:pPr>
              <w:autoSpaceDE w:val="0"/>
              <w:autoSpaceDN w:val="0"/>
              <w:adjustRightInd w:val="0"/>
              <w:spacing w:line="216" w:lineRule="auto"/>
              <w:rPr>
                <w:rFonts w:ascii="Times New Roman" w:hAnsi="Times New Roman"/>
                <w:sz w:val="20"/>
                <w:szCs w:val="20"/>
                <w:lang w:val="fr-FR"/>
              </w:rPr>
            </w:pPr>
          </w:p>
        </w:tc>
        <w:tc>
          <w:tcPr>
            <w:tcW w:w="1607" w:type="dxa"/>
            <w:gridSpan w:val="5"/>
          </w:tcPr>
          <w:p w14:paraId="685E9565"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Close</w:t>
            </w:r>
          </w:p>
        </w:tc>
        <w:tc>
          <w:tcPr>
            <w:tcW w:w="1561" w:type="dxa"/>
            <w:gridSpan w:val="11"/>
          </w:tcPr>
          <w:p w14:paraId="0F9628B3"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Far</w:t>
            </w:r>
          </w:p>
        </w:tc>
        <w:tc>
          <w:tcPr>
            <w:tcW w:w="1777" w:type="dxa"/>
            <w:gridSpan w:val="10"/>
          </w:tcPr>
          <w:p w14:paraId="0EA408D0"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Close</w:t>
            </w:r>
          </w:p>
        </w:tc>
        <w:tc>
          <w:tcPr>
            <w:tcW w:w="2143" w:type="dxa"/>
            <w:gridSpan w:val="8"/>
          </w:tcPr>
          <w:p w14:paraId="45F2C65D"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Far</w:t>
            </w:r>
          </w:p>
        </w:tc>
      </w:tr>
      <w:tr w:rsidR="009F08DE" w:rsidRPr="00D16B79" w14:paraId="7DB982EA" w14:textId="77777777" w:rsidTr="00953EC7">
        <w:trPr>
          <w:gridAfter w:val="1"/>
          <w:wAfter w:w="17" w:type="dxa"/>
        </w:trPr>
        <w:tc>
          <w:tcPr>
            <w:tcW w:w="2245" w:type="dxa"/>
          </w:tcPr>
          <w:p w14:paraId="50617CB5"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1607" w:type="dxa"/>
            <w:gridSpan w:val="5"/>
          </w:tcPr>
          <w:p w14:paraId="46FA1CF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43.75</w:t>
            </w:r>
          </w:p>
        </w:tc>
        <w:tc>
          <w:tcPr>
            <w:tcW w:w="1561" w:type="dxa"/>
            <w:gridSpan w:val="11"/>
          </w:tcPr>
          <w:p w14:paraId="0436418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56.25</w:t>
            </w:r>
          </w:p>
        </w:tc>
        <w:tc>
          <w:tcPr>
            <w:tcW w:w="1777" w:type="dxa"/>
            <w:gridSpan w:val="10"/>
          </w:tcPr>
          <w:p w14:paraId="307D371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54.57</w:t>
            </w:r>
          </w:p>
        </w:tc>
        <w:tc>
          <w:tcPr>
            <w:tcW w:w="2143" w:type="dxa"/>
            <w:gridSpan w:val="8"/>
          </w:tcPr>
          <w:p w14:paraId="4EB7D6D5"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48.24</w:t>
            </w:r>
          </w:p>
        </w:tc>
      </w:tr>
      <w:tr w:rsidR="00F72729" w:rsidRPr="00025DDA" w14:paraId="6D9D6DB8" w14:textId="77777777" w:rsidTr="00953EC7">
        <w:trPr>
          <w:gridAfter w:val="1"/>
          <w:wAfter w:w="17" w:type="dxa"/>
        </w:trPr>
        <w:tc>
          <w:tcPr>
            <w:tcW w:w="2245" w:type="dxa"/>
            <w:tcBorders>
              <w:top w:val="single" w:sz="12" w:space="0" w:color="auto"/>
              <w:bottom w:val="single" w:sz="4" w:space="0" w:color="A5A5A5"/>
            </w:tcBorders>
          </w:tcPr>
          <w:p w14:paraId="50E04D88" w14:textId="7F915647"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 xml:space="preserve">Supplemental Study S2 </w:t>
            </w:r>
            <w:r w:rsidRPr="00D16B79">
              <w:rPr>
                <w:rFonts w:ascii="Times New Roman" w:hAnsi="Times New Roman"/>
                <w:i/>
                <w:iCs/>
                <w:sz w:val="20"/>
                <w:szCs w:val="20"/>
                <w:lang w:val="en-US"/>
              </w:rPr>
              <w:t>JE vs</w:t>
            </w:r>
            <w:r w:rsidR="00BD0D84" w:rsidRPr="00D16B79">
              <w:rPr>
                <w:rFonts w:ascii="Times New Roman" w:hAnsi="Times New Roman"/>
                <w:i/>
                <w:iCs/>
                <w:sz w:val="20"/>
                <w:szCs w:val="20"/>
                <w:lang w:val="en-US"/>
              </w:rPr>
              <w:t>.</w:t>
            </w:r>
            <w:r w:rsidRPr="00D16B79">
              <w:rPr>
                <w:rFonts w:ascii="Times New Roman" w:hAnsi="Times New Roman"/>
                <w:i/>
                <w:iCs/>
                <w:sz w:val="20"/>
                <w:szCs w:val="20"/>
                <w:lang w:val="en-US"/>
              </w:rPr>
              <w:t xml:space="preserve"> SE Individual</w:t>
            </w:r>
          </w:p>
        </w:tc>
        <w:tc>
          <w:tcPr>
            <w:tcW w:w="7088" w:type="dxa"/>
            <w:gridSpan w:val="34"/>
            <w:tcBorders>
              <w:top w:val="single" w:sz="12" w:space="0" w:color="auto"/>
              <w:bottom w:val="single" w:sz="4" w:space="0" w:color="A5A5A5"/>
            </w:tcBorders>
          </w:tcPr>
          <w:p w14:paraId="480B446E" w14:textId="3A3E3772" w:rsidR="00F72729" w:rsidRPr="00D16B79" w:rsidRDefault="00F72729" w:rsidP="00F72729">
            <w:pPr>
              <w:numPr>
                <w:ilvl w:val="0"/>
                <w:numId w:val="3"/>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Preference shift between JE and SE</w:t>
            </w:r>
            <w:r w:rsidR="00F93FE4">
              <w:rPr>
                <w:rFonts w:ascii="Times New Roman" w:hAnsi="Times New Roman"/>
                <w:sz w:val="20"/>
                <w:szCs w:val="20"/>
                <w:lang w:val="en-US"/>
              </w:rPr>
              <w:t xml:space="preserve"> (H1)</w:t>
            </w:r>
            <w:r w:rsidRPr="00D16B79">
              <w:rPr>
                <w:rFonts w:ascii="Times New Roman" w:hAnsi="Times New Roman"/>
                <w:sz w:val="20"/>
                <w:szCs w:val="20"/>
                <w:lang w:val="en-US"/>
              </w:rPr>
              <w:t xml:space="preserve">, replication of Study 2. </w:t>
            </w:r>
          </w:p>
          <w:p w14:paraId="6C130177" w14:textId="77777777" w:rsidR="00F72729" w:rsidRDefault="00F72729" w:rsidP="00F72729">
            <w:pPr>
              <w:numPr>
                <w:ilvl w:val="0"/>
                <w:numId w:val="3"/>
              </w:numPr>
              <w:autoSpaceDE w:val="0"/>
              <w:autoSpaceDN w:val="0"/>
              <w:adjustRightInd w:val="0"/>
              <w:spacing w:line="216" w:lineRule="auto"/>
              <w:ind w:left="178" w:hanging="178"/>
              <w:contextualSpacing/>
              <w:rPr>
                <w:rFonts w:ascii="Times New Roman" w:hAnsi="Times New Roman"/>
                <w:sz w:val="20"/>
                <w:szCs w:val="20"/>
                <w:lang w:val="en-US"/>
              </w:rPr>
            </w:pPr>
            <w:r w:rsidRPr="00D16B79">
              <w:rPr>
                <w:rFonts w:ascii="Times New Roman" w:hAnsi="Times New Roman"/>
                <w:sz w:val="20"/>
                <w:szCs w:val="20"/>
                <w:lang w:val="en-US"/>
              </w:rPr>
              <w:t>Pre-registered.</w:t>
            </w:r>
          </w:p>
          <w:p w14:paraId="734D0A9F" w14:textId="552929B5" w:rsidR="00BB7A8C" w:rsidRPr="00C32F4B" w:rsidRDefault="00BB7A8C" w:rsidP="00F72729">
            <w:pPr>
              <w:numPr>
                <w:ilvl w:val="0"/>
                <w:numId w:val="3"/>
              </w:numPr>
              <w:autoSpaceDE w:val="0"/>
              <w:autoSpaceDN w:val="0"/>
              <w:adjustRightInd w:val="0"/>
              <w:spacing w:line="216" w:lineRule="auto"/>
              <w:ind w:left="178" w:hanging="178"/>
              <w:contextualSpacing/>
              <w:rPr>
                <w:rFonts w:ascii="Times New Roman" w:hAnsi="Times New Roman"/>
                <w:sz w:val="20"/>
                <w:szCs w:val="20"/>
                <w:lang w:val="fr-FR"/>
              </w:rPr>
            </w:pPr>
            <w:r w:rsidRPr="00C32F4B">
              <w:rPr>
                <w:rFonts w:ascii="Times New Roman" w:hAnsi="Times New Roman"/>
                <w:sz w:val="20"/>
                <w:szCs w:val="20"/>
                <w:lang w:val="fr-FR"/>
              </w:rPr>
              <w:t xml:space="preserve">3 (Evaluation </w:t>
            </w:r>
            <w:proofErr w:type="gramStart"/>
            <w:r w:rsidRPr="00C32F4B">
              <w:rPr>
                <w:rFonts w:ascii="Times New Roman" w:hAnsi="Times New Roman"/>
                <w:sz w:val="20"/>
                <w:szCs w:val="20"/>
                <w:lang w:val="fr-FR"/>
              </w:rPr>
              <w:t>type:</w:t>
            </w:r>
            <w:proofErr w:type="gramEnd"/>
            <w:r w:rsidRPr="00C32F4B">
              <w:rPr>
                <w:rFonts w:ascii="Times New Roman" w:hAnsi="Times New Roman"/>
                <w:sz w:val="20"/>
                <w:szCs w:val="20"/>
                <w:lang w:val="fr-FR"/>
              </w:rPr>
              <w:t xml:space="preserve"> </w:t>
            </w:r>
            <w:r w:rsidR="00953EC7" w:rsidRPr="00C32F4B">
              <w:rPr>
                <w:rFonts w:ascii="Times New Roman" w:hAnsi="Times New Roman"/>
                <w:sz w:val="20"/>
                <w:szCs w:val="20"/>
                <w:lang w:val="fr-FR"/>
              </w:rPr>
              <w:t>JE vs. SE far vs. SE close</w:t>
            </w:r>
            <w:r w:rsidRPr="00C32F4B">
              <w:rPr>
                <w:rFonts w:ascii="Times New Roman" w:hAnsi="Times New Roman"/>
                <w:sz w:val="20"/>
                <w:szCs w:val="20"/>
                <w:lang w:val="fr-FR"/>
              </w:rPr>
              <w:t>)</w:t>
            </w:r>
          </w:p>
        </w:tc>
      </w:tr>
      <w:tr w:rsidR="009F08DE" w:rsidRPr="00D16B79" w14:paraId="3D7BED30" w14:textId="77777777" w:rsidTr="00953EC7">
        <w:trPr>
          <w:gridAfter w:val="1"/>
          <w:wAfter w:w="17" w:type="dxa"/>
        </w:trPr>
        <w:tc>
          <w:tcPr>
            <w:tcW w:w="2245" w:type="dxa"/>
          </w:tcPr>
          <w:p w14:paraId="732E2DDA" w14:textId="77777777" w:rsidR="00F72729" w:rsidRPr="00C32F4B" w:rsidRDefault="00F72729" w:rsidP="00F72729">
            <w:pPr>
              <w:autoSpaceDE w:val="0"/>
              <w:autoSpaceDN w:val="0"/>
              <w:adjustRightInd w:val="0"/>
              <w:spacing w:line="216" w:lineRule="auto"/>
              <w:rPr>
                <w:rFonts w:ascii="Times New Roman" w:hAnsi="Times New Roman"/>
                <w:sz w:val="20"/>
                <w:szCs w:val="20"/>
                <w:lang w:val="fr-FR"/>
              </w:rPr>
            </w:pPr>
          </w:p>
        </w:tc>
        <w:tc>
          <w:tcPr>
            <w:tcW w:w="1607" w:type="dxa"/>
            <w:gridSpan w:val="5"/>
          </w:tcPr>
          <w:p w14:paraId="4DA1F689"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Close</w:t>
            </w:r>
          </w:p>
        </w:tc>
        <w:tc>
          <w:tcPr>
            <w:tcW w:w="1561" w:type="dxa"/>
            <w:gridSpan w:val="11"/>
          </w:tcPr>
          <w:p w14:paraId="597BC6CD"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 Far</w:t>
            </w:r>
          </w:p>
        </w:tc>
        <w:tc>
          <w:tcPr>
            <w:tcW w:w="1777" w:type="dxa"/>
            <w:gridSpan w:val="10"/>
          </w:tcPr>
          <w:p w14:paraId="7C8688ED"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Close</w:t>
            </w:r>
          </w:p>
        </w:tc>
        <w:tc>
          <w:tcPr>
            <w:tcW w:w="2143" w:type="dxa"/>
            <w:gridSpan w:val="8"/>
          </w:tcPr>
          <w:p w14:paraId="503FDFDC"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 Far</w:t>
            </w:r>
          </w:p>
        </w:tc>
      </w:tr>
      <w:tr w:rsidR="009F08DE" w:rsidRPr="00D16B79" w14:paraId="76F769EF" w14:textId="77777777" w:rsidTr="00953EC7">
        <w:trPr>
          <w:gridAfter w:val="1"/>
          <w:wAfter w:w="17" w:type="dxa"/>
        </w:trPr>
        <w:tc>
          <w:tcPr>
            <w:tcW w:w="2245" w:type="dxa"/>
          </w:tcPr>
          <w:p w14:paraId="5647245A"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Likelihood</w:t>
            </w:r>
          </w:p>
        </w:tc>
        <w:tc>
          <w:tcPr>
            <w:tcW w:w="1607" w:type="dxa"/>
            <w:gridSpan w:val="5"/>
          </w:tcPr>
          <w:p w14:paraId="024A6957"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4.64</w:t>
            </w:r>
          </w:p>
        </w:tc>
        <w:tc>
          <w:tcPr>
            <w:tcW w:w="1561" w:type="dxa"/>
            <w:gridSpan w:val="11"/>
          </w:tcPr>
          <w:p w14:paraId="7BB7DD82"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5.92</w:t>
            </w:r>
          </w:p>
        </w:tc>
        <w:tc>
          <w:tcPr>
            <w:tcW w:w="1777" w:type="dxa"/>
            <w:gridSpan w:val="10"/>
          </w:tcPr>
          <w:p w14:paraId="57B9B931"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5.88</w:t>
            </w:r>
          </w:p>
        </w:tc>
        <w:tc>
          <w:tcPr>
            <w:tcW w:w="2143" w:type="dxa"/>
            <w:gridSpan w:val="8"/>
          </w:tcPr>
          <w:p w14:paraId="0B026C0A"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5.66</w:t>
            </w:r>
          </w:p>
        </w:tc>
      </w:tr>
      <w:tr w:rsidR="00F72729" w:rsidRPr="00D16B79" w14:paraId="74B440AA" w14:textId="77777777" w:rsidTr="00953EC7">
        <w:trPr>
          <w:gridAfter w:val="1"/>
          <w:wAfter w:w="17" w:type="dxa"/>
        </w:trPr>
        <w:tc>
          <w:tcPr>
            <w:tcW w:w="2245" w:type="dxa"/>
          </w:tcPr>
          <w:p w14:paraId="55639C30" w14:textId="77777777"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Supplemental Study S3</w:t>
            </w:r>
          </w:p>
          <w:p w14:paraId="696BAEA8"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i/>
                <w:iCs/>
                <w:sz w:val="20"/>
                <w:szCs w:val="20"/>
                <w:lang w:val="en-US"/>
              </w:rPr>
              <w:t>Three Projects</w:t>
            </w:r>
          </w:p>
        </w:tc>
        <w:tc>
          <w:tcPr>
            <w:tcW w:w="7088" w:type="dxa"/>
            <w:gridSpan w:val="34"/>
          </w:tcPr>
          <w:p w14:paraId="63185F56" w14:textId="77777777"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 xml:space="preserve">Robust to three projects with varying middle progress project (H1). </w:t>
            </w:r>
          </w:p>
          <w:p w14:paraId="47223D81" w14:textId="77777777" w:rsidR="00F7272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Pre-registered.</w:t>
            </w:r>
          </w:p>
          <w:p w14:paraId="390E4D32" w14:textId="079E58FB" w:rsidR="00BB7A8C" w:rsidRPr="00D16B79" w:rsidRDefault="00BB7A8C"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3 (10/20/90 vs. 10/50/90 vs. 10/80/90)</w:t>
            </w:r>
          </w:p>
        </w:tc>
      </w:tr>
      <w:tr w:rsidR="009F08DE" w:rsidRPr="00D16B79" w14:paraId="04542E55" w14:textId="77777777" w:rsidTr="00953EC7">
        <w:trPr>
          <w:gridAfter w:val="1"/>
          <w:wAfter w:w="17" w:type="dxa"/>
        </w:trPr>
        <w:tc>
          <w:tcPr>
            <w:tcW w:w="2245" w:type="dxa"/>
          </w:tcPr>
          <w:p w14:paraId="07CA7114" w14:textId="77777777"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p>
        </w:tc>
        <w:tc>
          <w:tcPr>
            <w:tcW w:w="2390" w:type="dxa"/>
            <w:gridSpan w:val="11"/>
          </w:tcPr>
          <w:p w14:paraId="7C60B566"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2341" w:type="dxa"/>
            <w:gridSpan w:val="13"/>
          </w:tcPr>
          <w:p w14:paraId="251BFF8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Middle</w:t>
            </w:r>
          </w:p>
        </w:tc>
        <w:tc>
          <w:tcPr>
            <w:tcW w:w="2357" w:type="dxa"/>
            <w:gridSpan w:val="10"/>
          </w:tcPr>
          <w:p w14:paraId="3E274A24"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r>
      <w:tr w:rsidR="009F08DE" w:rsidRPr="00D16B79" w14:paraId="51A5CAD1" w14:textId="77777777" w:rsidTr="00953EC7">
        <w:trPr>
          <w:gridAfter w:val="1"/>
          <w:wAfter w:w="17" w:type="dxa"/>
        </w:trPr>
        <w:tc>
          <w:tcPr>
            <w:tcW w:w="2245" w:type="dxa"/>
          </w:tcPr>
          <w:p w14:paraId="2C8231E5"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 xml:space="preserve">Amount </w:t>
            </w:r>
          </w:p>
        </w:tc>
        <w:tc>
          <w:tcPr>
            <w:tcW w:w="2390" w:type="dxa"/>
            <w:gridSpan w:val="11"/>
          </w:tcPr>
          <w:p w14:paraId="19C0EED1"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31.38</w:t>
            </w:r>
          </w:p>
        </w:tc>
        <w:tc>
          <w:tcPr>
            <w:tcW w:w="2341" w:type="dxa"/>
            <w:gridSpan w:val="13"/>
          </w:tcPr>
          <w:p w14:paraId="19968C7D"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22.14</w:t>
            </w:r>
          </w:p>
        </w:tc>
        <w:tc>
          <w:tcPr>
            <w:tcW w:w="2357" w:type="dxa"/>
            <w:gridSpan w:val="10"/>
          </w:tcPr>
          <w:p w14:paraId="3F98529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18.19</w:t>
            </w:r>
          </w:p>
        </w:tc>
      </w:tr>
      <w:tr w:rsidR="00F72729" w:rsidRPr="00D16B79" w14:paraId="537466EF" w14:textId="77777777" w:rsidTr="00953EC7">
        <w:trPr>
          <w:gridAfter w:val="1"/>
          <w:wAfter w:w="17" w:type="dxa"/>
        </w:trPr>
        <w:tc>
          <w:tcPr>
            <w:tcW w:w="2245" w:type="dxa"/>
            <w:tcBorders>
              <w:top w:val="single" w:sz="12" w:space="0" w:color="auto"/>
              <w:bottom w:val="nil"/>
            </w:tcBorders>
          </w:tcPr>
          <w:p w14:paraId="0CC08A23" w14:textId="7532437F"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Supplemental Study</w:t>
            </w:r>
            <w:r w:rsidR="00953EC7">
              <w:rPr>
                <w:rFonts w:ascii="Times New Roman" w:hAnsi="Times New Roman"/>
                <w:b/>
                <w:bCs/>
                <w:sz w:val="20"/>
                <w:szCs w:val="20"/>
                <w:lang w:val="en-US"/>
              </w:rPr>
              <w:t xml:space="preserve"> </w:t>
            </w:r>
            <w:r w:rsidRPr="00D16B79">
              <w:rPr>
                <w:rFonts w:ascii="Times New Roman" w:hAnsi="Times New Roman"/>
                <w:b/>
                <w:bCs/>
                <w:sz w:val="20"/>
                <w:szCs w:val="20"/>
                <w:lang w:val="en-US"/>
              </w:rPr>
              <w:t>S4</w:t>
            </w:r>
          </w:p>
          <w:p w14:paraId="51801397" w14:textId="77777777" w:rsidR="00F72729" w:rsidRPr="00D16B79" w:rsidRDefault="00F72729" w:rsidP="00F72729">
            <w:pPr>
              <w:autoSpaceDE w:val="0"/>
              <w:autoSpaceDN w:val="0"/>
              <w:adjustRightInd w:val="0"/>
              <w:spacing w:line="216" w:lineRule="auto"/>
              <w:rPr>
                <w:rFonts w:ascii="Times New Roman" w:hAnsi="Times New Roman"/>
                <w:i/>
                <w:iCs/>
                <w:sz w:val="20"/>
                <w:szCs w:val="20"/>
                <w:lang w:val="en-US"/>
              </w:rPr>
            </w:pPr>
            <w:r w:rsidRPr="00D16B79">
              <w:rPr>
                <w:rFonts w:ascii="Times New Roman" w:hAnsi="Times New Roman"/>
                <w:i/>
                <w:iCs/>
                <w:sz w:val="20"/>
                <w:szCs w:val="20"/>
                <w:lang w:val="en-US"/>
              </w:rPr>
              <w:t>Main Effect</w:t>
            </w:r>
          </w:p>
        </w:tc>
        <w:tc>
          <w:tcPr>
            <w:tcW w:w="7088" w:type="dxa"/>
            <w:gridSpan w:val="34"/>
            <w:tcBorders>
              <w:top w:val="single" w:sz="12" w:space="0" w:color="auto"/>
              <w:bottom w:val="nil"/>
            </w:tcBorders>
          </w:tcPr>
          <w:p w14:paraId="397C6E82" w14:textId="7EC58843"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 xml:space="preserve">Tests if people donate to the charity farther from its goal in JE. </w:t>
            </w:r>
          </w:p>
          <w:p w14:paraId="75A84538" w14:textId="77777777"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Pre-registered.</w:t>
            </w:r>
          </w:p>
        </w:tc>
      </w:tr>
      <w:tr w:rsidR="00F72729" w:rsidRPr="00D16B79" w14:paraId="52A1E4CC" w14:textId="77777777" w:rsidTr="00953EC7">
        <w:trPr>
          <w:gridAfter w:val="1"/>
          <w:wAfter w:w="17" w:type="dxa"/>
        </w:trPr>
        <w:tc>
          <w:tcPr>
            <w:tcW w:w="2245" w:type="dxa"/>
          </w:tcPr>
          <w:p w14:paraId="628BCFCB"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3129" w:type="dxa"/>
            <w:gridSpan w:val="14"/>
          </w:tcPr>
          <w:p w14:paraId="28AF8D0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 to Goal</w:t>
            </w:r>
          </w:p>
        </w:tc>
        <w:tc>
          <w:tcPr>
            <w:tcW w:w="3959" w:type="dxa"/>
            <w:gridSpan w:val="20"/>
          </w:tcPr>
          <w:p w14:paraId="71C2A0D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 from Goal</w:t>
            </w:r>
          </w:p>
        </w:tc>
      </w:tr>
      <w:tr w:rsidR="00F72729" w:rsidRPr="00D16B79" w14:paraId="2C97398B" w14:textId="77777777" w:rsidTr="00953EC7">
        <w:trPr>
          <w:gridAfter w:val="1"/>
          <w:wAfter w:w="17" w:type="dxa"/>
        </w:trPr>
        <w:tc>
          <w:tcPr>
            <w:tcW w:w="2245" w:type="dxa"/>
          </w:tcPr>
          <w:p w14:paraId="27D34E09"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Likelihood</w:t>
            </w:r>
          </w:p>
        </w:tc>
        <w:tc>
          <w:tcPr>
            <w:tcW w:w="3129" w:type="dxa"/>
            <w:gridSpan w:val="14"/>
          </w:tcPr>
          <w:p w14:paraId="706586A2"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3.40</w:t>
            </w:r>
          </w:p>
        </w:tc>
        <w:tc>
          <w:tcPr>
            <w:tcW w:w="3959" w:type="dxa"/>
            <w:gridSpan w:val="20"/>
          </w:tcPr>
          <w:p w14:paraId="01EAED1E"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4.60</w:t>
            </w:r>
          </w:p>
        </w:tc>
      </w:tr>
      <w:tr w:rsidR="00F72729" w:rsidRPr="00D16B79" w14:paraId="18153AB0" w14:textId="77777777" w:rsidTr="00953EC7">
        <w:trPr>
          <w:gridAfter w:val="1"/>
          <w:wAfter w:w="17" w:type="dxa"/>
        </w:trPr>
        <w:tc>
          <w:tcPr>
            <w:tcW w:w="2245" w:type="dxa"/>
            <w:tcBorders>
              <w:top w:val="nil"/>
            </w:tcBorders>
          </w:tcPr>
          <w:p w14:paraId="40875254"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3129" w:type="dxa"/>
            <w:gridSpan w:val="14"/>
            <w:tcBorders>
              <w:top w:val="nil"/>
            </w:tcBorders>
          </w:tcPr>
          <w:p w14:paraId="226E4047" w14:textId="45AC078E" w:rsidR="00F72729" w:rsidRPr="00D16B79" w:rsidRDefault="00F72729" w:rsidP="00F72729">
            <w:pPr>
              <w:autoSpaceDE w:val="0"/>
              <w:autoSpaceDN w:val="0"/>
              <w:adjustRightInd w:val="0"/>
              <w:spacing w:line="216" w:lineRule="auto"/>
              <w:contextualSpacing/>
              <w:jc w:val="center"/>
              <w:rPr>
                <w:rFonts w:ascii="Times New Roman" w:hAnsi="Times New Roman"/>
                <w:sz w:val="20"/>
                <w:szCs w:val="20"/>
                <w:lang w:val="en-US"/>
              </w:rPr>
            </w:pPr>
            <w:r w:rsidRPr="00D16B79">
              <w:rPr>
                <w:rFonts w:ascii="Times New Roman" w:hAnsi="Times New Roman"/>
                <w:sz w:val="20"/>
                <w:szCs w:val="20"/>
                <w:lang w:val="en-US"/>
              </w:rPr>
              <w:t>41.86</w:t>
            </w:r>
          </w:p>
        </w:tc>
        <w:tc>
          <w:tcPr>
            <w:tcW w:w="3959" w:type="dxa"/>
            <w:gridSpan w:val="20"/>
            <w:tcBorders>
              <w:top w:val="nil"/>
            </w:tcBorders>
          </w:tcPr>
          <w:p w14:paraId="7AA49C83" w14:textId="573B24A4" w:rsidR="00F72729" w:rsidRPr="00D16B79" w:rsidRDefault="00F72729" w:rsidP="00F72729">
            <w:pPr>
              <w:autoSpaceDE w:val="0"/>
              <w:autoSpaceDN w:val="0"/>
              <w:adjustRightInd w:val="0"/>
              <w:spacing w:line="216" w:lineRule="auto"/>
              <w:contextualSpacing/>
              <w:jc w:val="center"/>
              <w:rPr>
                <w:rFonts w:ascii="Times New Roman" w:hAnsi="Times New Roman"/>
                <w:sz w:val="20"/>
                <w:szCs w:val="20"/>
                <w:lang w:val="en-US"/>
              </w:rPr>
            </w:pPr>
            <w:r w:rsidRPr="00D16B79">
              <w:rPr>
                <w:rFonts w:ascii="Times New Roman" w:hAnsi="Times New Roman"/>
                <w:sz w:val="20"/>
                <w:szCs w:val="20"/>
                <w:lang w:val="en-US"/>
              </w:rPr>
              <w:t>58.14</w:t>
            </w:r>
          </w:p>
        </w:tc>
      </w:tr>
      <w:tr w:rsidR="00F72729" w:rsidRPr="00D16B79" w14:paraId="22FFED63" w14:textId="77777777" w:rsidTr="00953EC7">
        <w:trPr>
          <w:gridAfter w:val="1"/>
          <w:wAfter w:w="17" w:type="dxa"/>
          <w:trHeight w:val="624"/>
        </w:trPr>
        <w:tc>
          <w:tcPr>
            <w:tcW w:w="2245" w:type="dxa"/>
            <w:tcBorders>
              <w:top w:val="single" w:sz="12" w:space="0" w:color="auto"/>
            </w:tcBorders>
          </w:tcPr>
          <w:p w14:paraId="28EF938F" w14:textId="4F6E89BF"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Supplemental Study S5</w:t>
            </w:r>
          </w:p>
          <w:p w14:paraId="09FC9EE8" w14:textId="755B15A0" w:rsidR="00F72729" w:rsidRPr="00D16B79" w:rsidRDefault="00F72729" w:rsidP="00F72729">
            <w:pPr>
              <w:autoSpaceDE w:val="0"/>
              <w:autoSpaceDN w:val="0"/>
              <w:adjustRightInd w:val="0"/>
              <w:spacing w:line="216" w:lineRule="auto"/>
              <w:rPr>
                <w:rFonts w:ascii="Times New Roman" w:hAnsi="Times New Roman"/>
                <w:i/>
                <w:iCs/>
                <w:sz w:val="20"/>
                <w:szCs w:val="20"/>
                <w:lang w:val="en-US"/>
              </w:rPr>
            </w:pPr>
            <w:r w:rsidRPr="00D16B79">
              <w:rPr>
                <w:rFonts w:ascii="Times New Roman" w:hAnsi="Times New Roman"/>
                <w:i/>
                <w:iCs/>
                <w:sz w:val="20"/>
                <w:szCs w:val="20"/>
                <w:lang w:val="en-US"/>
              </w:rPr>
              <w:t xml:space="preserve">Completion contingent Tipping Point </w:t>
            </w:r>
          </w:p>
        </w:tc>
        <w:tc>
          <w:tcPr>
            <w:tcW w:w="7088" w:type="dxa"/>
            <w:gridSpan w:val="34"/>
            <w:tcBorders>
              <w:top w:val="single" w:sz="12" w:space="0" w:color="auto"/>
            </w:tcBorders>
          </w:tcPr>
          <w:p w14:paraId="38B79F16" w14:textId="77777777"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Tests if people donate to the charity farther from its goal when the one closer is at the tipping point, and rewards are contingent on completion.</w:t>
            </w:r>
          </w:p>
          <w:p w14:paraId="0CA32C21" w14:textId="77777777" w:rsidR="00F7272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Pre-registered.</w:t>
            </w:r>
          </w:p>
          <w:p w14:paraId="3DF60A8F" w14:textId="6AE09313" w:rsidR="00953EC7" w:rsidRPr="00D16B79" w:rsidRDefault="00953EC7"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2(Completion contingent vs. not completion contingent)</w:t>
            </w:r>
          </w:p>
        </w:tc>
      </w:tr>
      <w:tr w:rsidR="00F72729" w:rsidRPr="00D16B79" w14:paraId="0409DD1B" w14:textId="77777777" w:rsidTr="00953EC7">
        <w:trPr>
          <w:gridAfter w:val="1"/>
          <w:wAfter w:w="17" w:type="dxa"/>
        </w:trPr>
        <w:tc>
          <w:tcPr>
            <w:tcW w:w="2245" w:type="dxa"/>
          </w:tcPr>
          <w:p w14:paraId="76BAD452"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3683" w:type="dxa"/>
            <w:gridSpan w:val="19"/>
          </w:tcPr>
          <w:p w14:paraId="78704885" w14:textId="178E8D1F"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Completion contingent</w:t>
            </w:r>
          </w:p>
        </w:tc>
        <w:tc>
          <w:tcPr>
            <w:tcW w:w="3405" w:type="dxa"/>
            <w:gridSpan w:val="15"/>
          </w:tcPr>
          <w:p w14:paraId="069B048A" w14:textId="646E42F8"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Not completion contingent</w:t>
            </w:r>
          </w:p>
        </w:tc>
      </w:tr>
      <w:tr w:rsidR="009F08DE" w:rsidRPr="00D16B79" w14:paraId="6C7EB3EC" w14:textId="77777777" w:rsidTr="00953EC7">
        <w:trPr>
          <w:gridAfter w:val="1"/>
          <w:wAfter w:w="17" w:type="dxa"/>
        </w:trPr>
        <w:tc>
          <w:tcPr>
            <w:tcW w:w="2245" w:type="dxa"/>
          </w:tcPr>
          <w:p w14:paraId="0974066A" w14:textId="163A8F2D"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1706" w:type="dxa"/>
            <w:gridSpan w:val="6"/>
          </w:tcPr>
          <w:p w14:paraId="4326CD6D" w14:textId="30CA0DC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 to goal</w:t>
            </w:r>
          </w:p>
        </w:tc>
        <w:tc>
          <w:tcPr>
            <w:tcW w:w="1977" w:type="dxa"/>
            <w:gridSpan w:val="13"/>
          </w:tcPr>
          <w:p w14:paraId="42A39BEC" w14:textId="300EA3B2"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 from goal</w:t>
            </w:r>
          </w:p>
        </w:tc>
        <w:tc>
          <w:tcPr>
            <w:tcW w:w="1632" w:type="dxa"/>
            <w:gridSpan w:val="8"/>
          </w:tcPr>
          <w:p w14:paraId="19A197F6" w14:textId="77F54529"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 to goal</w:t>
            </w:r>
          </w:p>
        </w:tc>
        <w:tc>
          <w:tcPr>
            <w:tcW w:w="1773" w:type="dxa"/>
            <w:gridSpan w:val="7"/>
          </w:tcPr>
          <w:p w14:paraId="674F6912" w14:textId="176B2D68"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 from goal</w:t>
            </w:r>
          </w:p>
        </w:tc>
      </w:tr>
      <w:tr w:rsidR="009F08DE" w:rsidRPr="00D16B79" w14:paraId="5D0483C1" w14:textId="77777777" w:rsidTr="00953EC7">
        <w:trPr>
          <w:gridAfter w:val="1"/>
          <w:wAfter w:w="17" w:type="dxa"/>
        </w:trPr>
        <w:tc>
          <w:tcPr>
            <w:tcW w:w="2245" w:type="dxa"/>
          </w:tcPr>
          <w:p w14:paraId="53C96383" w14:textId="3495AB24"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1706" w:type="dxa"/>
            <w:gridSpan w:val="6"/>
          </w:tcPr>
          <w:p w14:paraId="6FFB7F50" w14:textId="1D8705A9"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29.60</w:t>
            </w:r>
          </w:p>
        </w:tc>
        <w:tc>
          <w:tcPr>
            <w:tcW w:w="1977" w:type="dxa"/>
            <w:gridSpan w:val="13"/>
          </w:tcPr>
          <w:p w14:paraId="1E502164" w14:textId="1F8CBB6B"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27.69</w:t>
            </w:r>
          </w:p>
        </w:tc>
        <w:tc>
          <w:tcPr>
            <w:tcW w:w="1632" w:type="dxa"/>
            <w:gridSpan w:val="8"/>
          </w:tcPr>
          <w:p w14:paraId="031DC097" w14:textId="2AB54006"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26.81</w:t>
            </w:r>
          </w:p>
        </w:tc>
        <w:tc>
          <w:tcPr>
            <w:tcW w:w="1773" w:type="dxa"/>
            <w:gridSpan w:val="7"/>
          </w:tcPr>
          <w:p w14:paraId="27720A5E" w14:textId="2A03807A"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32.62</w:t>
            </w:r>
          </w:p>
        </w:tc>
      </w:tr>
      <w:tr w:rsidR="00F72729" w:rsidRPr="00D16B79" w14:paraId="6D6AD6E3" w14:textId="77777777" w:rsidTr="00953EC7">
        <w:trPr>
          <w:gridAfter w:val="1"/>
          <w:wAfter w:w="17" w:type="dxa"/>
        </w:trPr>
        <w:tc>
          <w:tcPr>
            <w:tcW w:w="2245" w:type="dxa"/>
            <w:tcBorders>
              <w:top w:val="single" w:sz="12" w:space="0" w:color="auto"/>
            </w:tcBorders>
          </w:tcPr>
          <w:p w14:paraId="5FA4DA4C" w14:textId="4A3A9519"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b/>
                <w:bCs/>
                <w:sz w:val="20"/>
                <w:szCs w:val="20"/>
                <w:lang w:val="en-US"/>
              </w:rPr>
              <w:t xml:space="preserve">Supplemental Study S6 </w:t>
            </w:r>
            <w:r w:rsidRPr="00D16B79">
              <w:rPr>
                <w:rFonts w:ascii="Times New Roman" w:hAnsi="Times New Roman"/>
                <w:i/>
                <w:iCs/>
                <w:sz w:val="20"/>
                <w:szCs w:val="20"/>
                <w:lang w:val="en-US"/>
              </w:rPr>
              <w:t>Relative vs. Consistent</w:t>
            </w:r>
          </w:p>
        </w:tc>
        <w:tc>
          <w:tcPr>
            <w:tcW w:w="7088" w:type="dxa"/>
            <w:gridSpan w:val="34"/>
            <w:tcBorders>
              <w:top w:val="single" w:sz="12" w:space="0" w:color="auto"/>
            </w:tcBorders>
          </w:tcPr>
          <w:p w14:paraId="5257767E" w14:textId="36E30339" w:rsidR="00F72729" w:rsidRPr="00D16B7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Compares different types of goal progress in joint evaluation.</w:t>
            </w:r>
          </w:p>
          <w:p w14:paraId="7FBBF9D1" w14:textId="77777777" w:rsidR="00F72729" w:rsidRDefault="00F72729"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Shows mediation through need.</w:t>
            </w:r>
          </w:p>
          <w:p w14:paraId="0069944C" w14:textId="696BBF42" w:rsidR="00953EC7" w:rsidRPr="00D16B79" w:rsidRDefault="00953EC7" w:rsidP="00F72729">
            <w:pPr>
              <w:numPr>
                <w:ilvl w:val="0"/>
                <w:numId w:val="1"/>
              </w:numPr>
              <w:autoSpaceDE w:val="0"/>
              <w:autoSpaceDN w:val="0"/>
              <w:adjustRightInd w:val="0"/>
              <w:spacing w:line="216" w:lineRule="auto"/>
              <w:ind w:left="160" w:hanging="160"/>
              <w:contextualSpacing/>
              <w:rPr>
                <w:rFonts w:ascii="Times New Roman" w:hAnsi="Times New Roman"/>
                <w:sz w:val="20"/>
                <w:szCs w:val="20"/>
                <w:lang w:val="en-US"/>
              </w:rPr>
            </w:pPr>
            <w:r w:rsidRPr="00D16B79">
              <w:rPr>
                <w:rFonts w:ascii="Times New Roman" w:hAnsi="Times New Roman"/>
                <w:sz w:val="20"/>
                <w:szCs w:val="20"/>
                <w:lang w:val="en-US"/>
              </w:rPr>
              <w:t>2 (Goal progress: relative vs. consistent) with 2 replicate levels each and an additional control condition.</w:t>
            </w:r>
          </w:p>
        </w:tc>
      </w:tr>
      <w:tr w:rsidR="009F08DE" w:rsidRPr="00D16B79" w14:paraId="3E2B510B" w14:textId="77777777" w:rsidTr="00953EC7">
        <w:trPr>
          <w:gridAfter w:val="1"/>
          <w:wAfter w:w="17" w:type="dxa"/>
        </w:trPr>
        <w:tc>
          <w:tcPr>
            <w:tcW w:w="2245" w:type="dxa"/>
          </w:tcPr>
          <w:p w14:paraId="32175401"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To charity far from goal</w:t>
            </w:r>
          </w:p>
        </w:tc>
        <w:tc>
          <w:tcPr>
            <w:tcW w:w="1607" w:type="dxa"/>
            <w:gridSpan w:val="5"/>
          </w:tcPr>
          <w:p w14:paraId="43FE748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Control</w:t>
            </w:r>
          </w:p>
          <w:p w14:paraId="13C9CB98" w14:textId="3975B830"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($300 vs</w:t>
            </w:r>
            <w:r w:rsidR="00C6409D" w:rsidRPr="00D16B79">
              <w:rPr>
                <w:rFonts w:ascii="Times New Roman" w:hAnsi="Times New Roman"/>
                <w:sz w:val="20"/>
                <w:szCs w:val="20"/>
                <w:lang w:val="en-US"/>
              </w:rPr>
              <w:t>.</w:t>
            </w:r>
            <w:r w:rsidRPr="00D16B79">
              <w:rPr>
                <w:rFonts w:ascii="Times New Roman" w:hAnsi="Times New Roman"/>
                <w:sz w:val="20"/>
                <w:szCs w:val="20"/>
                <w:lang w:val="en-US"/>
              </w:rPr>
              <w:t xml:space="preserve"> $2700)</w:t>
            </w:r>
          </w:p>
        </w:tc>
        <w:tc>
          <w:tcPr>
            <w:tcW w:w="2597" w:type="dxa"/>
            <w:gridSpan w:val="16"/>
          </w:tcPr>
          <w:p w14:paraId="3F944A8E"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Relative</w:t>
            </w:r>
          </w:p>
          <w:p w14:paraId="36FCF63D" w14:textId="680DA410"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(e.g., 10% vs</w:t>
            </w:r>
            <w:r w:rsidR="00C6409D" w:rsidRPr="00D16B79">
              <w:rPr>
                <w:rFonts w:ascii="Times New Roman" w:hAnsi="Times New Roman"/>
                <w:sz w:val="20"/>
                <w:szCs w:val="20"/>
                <w:lang w:val="en-US"/>
              </w:rPr>
              <w:t>.</w:t>
            </w:r>
            <w:r w:rsidRPr="00D16B79">
              <w:rPr>
                <w:rFonts w:ascii="Times New Roman" w:hAnsi="Times New Roman"/>
                <w:sz w:val="20"/>
                <w:szCs w:val="20"/>
                <w:lang w:val="en-US"/>
              </w:rPr>
              <w:t xml:space="preserve"> 90% progress)  </w:t>
            </w:r>
          </w:p>
        </w:tc>
        <w:tc>
          <w:tcPr>
            <w:tcW w:w="2884" w:type="dxa"/>
            <w:gridSpan w:val="13"/>
          </w:tcPr>
          <w:p w14:paraId="217F550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Consistent</w:t>
            </w:r>
          </w:p>
          <w:p w14:paraId="2CEDE9B3"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(e.g., both at 10% progress)</w:t>
            </w:r>
          </w:p>
        </w:tc>
      </w:tr>
      <w:tr w:rsidR="009F08DE" w:rsidRPr="00D16B79" w14:paraId="2214E78F" w14:textId="77777777" w:rsidTr="00953EC7">
        <w:trPr>
          <w:gridAfter w:val="1"/>
          <w:wAfter w:w="17" w:type="dxa"/>
        </w:trPr>
        <w:tc>
          <w:tcPr>
            <w:tcW w:w="2245" w:type="dxa"/>
          </w:tcPr>
          <w:p w14:paraId="1ED0E4BF"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Likelihood</w:t>
            </w:r>
          </w:p>
        </w:tc>
        <w:tc>
          <w:tcPr>
            <w:tcW w:w="1607" w:type="dxa"/>
            <w:gridSpan w:val="5"/>
          </w:tcPr>
          <w:p w14:paraId="4EE42D61"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4.69</w:t>
            </w:r>
          </w:p>
        </w:tc>
        <w:tc>
          <w:tcPr>
            <w:tcW w:w="2597" w:type="dxa"/>
            <w:gridSpan w:val="16"/>
          </w:tcPr>
          <w:p w14:paraId="22ADD2B5"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4.44</w:t>
            </w:r>
          </w:p>
        </w:tc>
        <w:tc>
          <w:tcPr>
            <w:tcW w:w="2884" w:type="dxa"/>
            <w:gridSpan w:val="13"/>
          </w:tcPr>
          <w:p w14:paraId="017935E3"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4.16</w:t>
            </w:r>
          </w:p>
        </w:tc>
      </w:tr>
      <w:tr w:rsidR="009F08DE" w:rsidRPr="00D16B79" w14:paraId="53FADCFC" w14:textId="77777777" w:rsidTr="00953EC7">
        <w:trPr>
          <w:gridAfter w:val="1"/>
          <w:wAfter w:w="17" w:type="dxa"/>
        </w:trPr>
        <w:tc>
          <w:tcPr>
            <w:tcW w:w="2245" w:type="dxa"/>
            <w:tcBorders>
              <w:bottom w:val="single" w:sz="12" w:space="0" w:color="auto"/>
            </w:tcBorders>
          </w:tcPr>
          <w:p w14:paraId="1704253B"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 xml:space="preserve">Amount </w:t>
            </w:r>
          </w:p>
        </w:tc>
        <w:tc>
          <w:tcPr>
            <w:tcW w:w="1607" w:type="dxa"/>
            <w:gridSpan w:val="5"/>
            <w:tcBorders>
              <w:bottom w:val="single" w:sz="12" w:space="0" w:color="auto"/>
            </w:tcBorders>
          </w:tcPr>
          <w:p w14:paraId="151503F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58.93</w:t>
            </w:r>
          </w:p>
        </w:tc>
        <w:tc>
          <w:tcPr>
            <w:tcW w:w="2597" w:type="dxa"/>
            <w:gridSpan w:val="16"/>
            <w:tcBorders>
              <w:bottom w:val="single" w:sz="12" w:space="0" w:color="auto"/>
            </w:tcBorders>
          </w:tcPr>
          <w:p w14:paraId="6245ED69"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60.16</w:t>
            </w:r>
          </w:p>
        </w:tc>
        <w:tc>
          <w:tcPr>
            <w:tcW w:w="2884" w:type="dxa"/>
            <w:gridSpan w:val="13"/>
            <w:tcBorders>
              <w:bottom w:val="single" w:sz="12" w:space="0" w:color="auto"/>
            </w:tcBorders>
          </w:tcPr>
          <w:p w14:paraId="2FB1D310"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52.90</w:t>
            </w:r>
          </w:p>
        </w:tc>
      </w:tr>
      <w:tr w:rsidR="00F72729" w:rsidRPr="00D16B79" w14:paraId="2C3F12E4" w14:textId="77777777" w:rsidTr="00953EC7">
        <w:tc>
          <w:tcPr>
            <w:tcW w:w="2245" w:type="dxa"/>
            <w:tcBorders>
              <w:top w:val="single" w:sz="12" w:space="0" w:color="auto"/>
              <w:bottom w:val="single" w:sz="4" w:space="0" w:color="A5A5A5"/>
            </w:tcBorders>
          </w:tcPr>
          <w:p w14:paraId="4476CAB4" w14:textId="0CD3CBFA"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b/>
                <w:bCs/>
                <w:sz w:val="20"/>
                <w:szCs w:val="20"/>
                <w:lang w:val="en-US"/>
              </w:rPr>
              <w:t>Supplemental Study S7</w:t>
            </w:r>
          </w:p>
          <w:p w14:paraId="1C4B4771" w14:textId="45159B70" w:rsidR="00F72729" w:rsidRPr="00D16B79" w:rsidRDefault="00F72729" w:rsidP="00F72729">
            <w:pPr>
              <w:autoSpaceDE w:val="0"/>
              <w:autoSpaceDN w:val="0"/>
              <w:adjustRightInd w:val="0"/>
              <w:spacing w:line="216" w:lineRule="auto"/>
              <w:rPr>
                <w:rFonts w:ascii="Times New Roman" w:hAnsi="Times New Roman"/>
                <w:b/>
                <w:bCs/>
                <w:sz w:val="20"/>
                <w:szCs w:val="20"/>
                <w:lang w:val="en-US"/>
              </w:rPr>
            </w:pPr>
            <w:r w:rsidRPr="00D16B79">
              <w:rPr>
                <w:rFonts w:ascii="Times New Roman" w:hAnsi="Times New Roman"/>
                <w:i/>
                <w:iCs/>
                <w:sz w:val="20"/>
                <w:szCs w:val="20"/>
                <w:lang w:val="en-US"/>
              </w:rPr>
              <w:t>To-go vs</w:t>
            </w:r>
            <w:r w:rsidR="00BD0D84" w:rsidRPr="00D16B79">
              <w:rPr>
                <w:rFonts w:ascii="Times New Roman" w:hAnsi="Times New Roman"/>
                <w:i/>
                <w:iCs/>
                <w:sz w:val="20"/>
                <w:szCs w:val="20"/>
                <w:lang w:val="en-US"/>
              </w:rPr>
              <w:t>.</w:t>
            </w:r>
            <w:r w:rsidRPr="00D16B79">
              <w:rPr>
                <w:rFonts w:ascii="Times New Roman" w:hAnsi="Times New Roman"/>
                <w:i/>
                <w:iCs/>
                <w:sz w:val="20"/>
                <w:szCs w:val="20"/>
                <w:lang w:val="en-US"/>
              </w:rPr>
              <w:t xml:space="preserve"> To-date</w:t>
            </w:r>
          </w:p>
        </w:tc>
        <w:tc>
          <w:tcPr>
            <w:tcW w:w="7105" w:type="dxa"/>
            <w:gridSpan w:val="35"/>
            <w:tcBorders>
              <w:top w:val="single" w:sz="12" w:space="0" w:color="auto"/>
              <w:bottom w:val="single" w:sz="4" w:space="0" w:color="A5A5A5"/>
            </w:tcBorders>
          </w:tcPr>
          <w:p w14:paraId="0F006AAF" w14:textId="77777777" w:rsidR="00F72729" w:rsidRPr="00D16B79" w:rsidRDefault="00F72729" w:rsidP="00F72729">
            <w:pPr>
              <w:pStyle w:val="ListParagraph"/>
              <w:numPr>
                <w:ilvl w:val="0"/>
                <w:numId w:val="3"/>
              </w:numPr>
              <w:autoSpaceDE w:val="0"/>
              <w:autoSpaceDN w:val="0"/>
              <w:adjustRightInd w:val="0"/>
              <w:spacing w:line="216" w:lineRule="auto"/>
              <w:ind w:left="340" w:hanging="340"/>
              <w:rPr>
                <w:rFonts w:ascii="Times New Roman" w:hAnsi="Times New Roman"/>
                <w:sz w:val="20"/>
                <w:szCs w:val="20"/>
                <w:lang w:val="en-US"/>
              </w:rPr>
            </w:pPr>
            <w:r w:rsidRPr="00D16B79">
              <w:rPr>
                <w:rFonts w:ascii="Times New Roman" w:hAnsi="Times New Roman"/>
                <w:sz w:val="20"/>
                <w:szCs w:val="20"/>
                <w:lang w:val="en-US"/>
              </w:rPr>
              <w:t>Preference shift between JE and SE (H1) with to-date frame but not to-go frame.</w:t>
            </w:r>
          </w:p>
          <w:p w14:paraId="4876457F" w14:textId="77777777" w:rsidR="00F72729" w:rsidRDefault="00F72729" w:rsidP="00F72729">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DV: Incentive</w:t>
            </w:r>
            <w:r w:rsidR="00BD0D84" w:rsidRPr="00D16B79">
              <w:rPr>
                <w:rFonts w:ascii="Times New Roman" w:hAnsi="Times New Roman"/>
                <w:sz w:val="20"/>
                <w:szCs w:val="20"/>
                <w:lang w:val="en-US"/>
              </w:rPr>
              <w:t>-</w:t>
            </w:r>
            <w:r w:rsidRPr="00D16B79">
              <w:rPr>
                <w:rFonts w:ascii="Times New Roman" w:hAnsi="Times New Roman"/>
                <w:sz w:val="20"/>
                <w:szCs w:val="20"/>
                <w:lang w:val="en-US"/>
              </w:rPr>
              <w:t>compatible donation from bonus amount. Pre-registered.</w:t>
            </w:r>
          </w:p>
          <w:p w14:paraId="13B1EF89" w14:textId="6190D47A" w:rsidR="00953EC7" w:rsidRPr="00D16B79" w:rsidRDefault="00953EC7" w:rsidP="00F72729">
            <w:pPr>
              <w:numPr>
                <w:ilvl w:val="0"/>
                <w:numId w:val="3"/>
              </w:numPr>
              <w:autoSpaceDE w:val="0"/>
              <w:autoSpaceDN w:val="0"/>
              <w:adjustRightInd w:val="0"/>
              <w:spacing w:line="216" w:lineRule="auto"/>
              <w:ind w:left="340" w:hanging="340"/>
              <w:contextualSpacing/>
              <w:rPr>
                <w:rFonts w:ascii="Times New Roman" w:hAnsi="Times New Roman"/>
                <w:sz w:val="20"/>
                <w:szCs w:val="20"/>
                <w:lang w:val="en-US"/>
              </w:rPr>
            </w:pPr>
            <w:r w:rsidRPr="00D16B79">
              <w:rPr>
                <w:rFonts w:ascii="Times New Roman" w:hAnsi="Times New Roman"/>
                <w:sz w:val="20"/>
                <w:szCs w:val="20"/>
                <w:lang w:val="en-US"/>
              </w:rPr>
              <w:t xml:space="preserve">3 (Evaluation type: </w:t>
            </w:r>
            <w:r>
              <w:rPr>
                <w:rFonts w:ascii="Times New Roman" w:hAnsi="Times New Roman"/>
                <w:sz w:val="20"/>
                <w:szCs w:val="20"/>
                <w:lang w:val="en-US"/>
              </w:rPr>
              <w:t>JE</w:t>
            </w:r>
            <w:r w:rsidRPr="00D16B79">
              <w:rPr>
                <w:rFonts w:ascii="Times New Roman" w:hAnsi="Times New Roman"/>
                <w:sz w:val="20"/>
                <w:szCs w:val="20"/>
                <w:lang w:val="en-US"/>
              </w:rPr>
              <w:t xml:space="preserve"> vs. </w:t>
            </w:r>
            <w:r>
              <w:rPr>
                <w:rFonts w:ascii="Times New Roman" w:hAnsi="Times New Roman"/>
                <w:sz w:val="20"/>
                <w:szCs w:val="20"/>
                <w:lang w:val="en-US"/>
              </w:rPr>
              <w:t>SE</w:t>
            </w:r>
            <w:r w:rsidRPr="00D16B79">
              <w:rPr>
                <w:rFonts w:ascii="Times New Roman" w:hAnsi="Times New Roman"/>
                <w:sz w:val="20"/>
                <w:szCs w:val="20"/>
                <w:lang w:val="en-US"/>
              </w:rPr>
              <w:t xml:space="preserve"> far vs. </w:t>
            </w:r>
            <w:r>
              <w:rPr>
                <w:rFonts w:ascii="Times New Roman" w:hAnsi="Times New Roman"/>
                <w:sz w:val="20"/>
                <w:szCs w:val="20"/>
                <w:lang w:val="en-US"/>
              </w:rPr>
              <w:t>SE</w:t>
            </w:r>
            <w:r w:rsidRPr="00D16B79">
              <w:rPr>
                <w:rFonts w:ascii="Times New Roman" w:hAnsi="Times New Roman"/>
                <w:sz w:val="20"/>
                <w:szCs w:val="20"/>
                <w:lang w:val="en-US"/>
              </w:rPr>
              <w:t xml:space="preserve"> close) x 2 (Framing: To-date vs. To-go)</w:t>
            </w:r>
          </w:p>
        </w:tc>
      </w:tr>
      <w:tr w:rsidR="00F72729" w:rsidRPr="00D16B79" w14:paraId="431414B2" w14:textId="77777777" w:rsidTr="00953EC7">
        <w:tc>
          <w:tcPr>
            <w:tcW w:w="2245" w:type="dxa"/>
            <w:vMerge w:val="restart"/>
          </w:tcPr>
          <w:p w14:paraId="08DE7203"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3147" w:type="dxa"/>
            <w:gridSpan w:val="15"/>
          </w:tcPr>
          <w:p w14:paraId="58C89D9A"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To-date</w:t>
            </w:r>
          </w:p>
        </w:tc>
        <w:tc>
          <w:tcPr>
            <w:tcW w:w="3958" w:type="dxa"/>
            <w:gridSpan w:val="20"/>
          </w:tcPr>
          <w:p w14:paraId="235305D9"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To-go</w:t>
            </w:r>
          </w:p>
        </w:tc>
      </w:tr>
      <w:tr w:rsidR="009F08DE" w:rsidRPr="00D16B79" w14:paraId="620188A4" w14:textId="77777777" w:rsidTr="00953EC7">
        <w:tc>
          <w:tcPr>
            <w:tcW w:w="2245" w:type="dxa"/>
            <w:vMerge/>
          </w:tcPr>
          <w:p w14:paraId="746AD9B6"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1607" w:type="dxa"/>
            <w:gridSpan w:val="5"/>
          </w:tcPr>
          <w:p w14:paraId="422F0E4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w:t>
            </w:r>
          </w:p>
        </w:tc>
        <w:tc>
          <w:tcPr>
            <w:tcW w:w="1540" w:type="dxa"/>
            <w:gridSpan w:val="10"/>
          </w:tcPr>
          <w:p w14:paraId="2243C10A"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w:t>
            </w:r>
          </w:p>
        </w:tc>
        <w:tc>
          <w:tcPr>
            <w:tcW w:w="1711" w:type="dxa"/>
            <w:gridSpan w:val="10"/>
          </w:tcPr>
          <w:p w14:paraId="1C51712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JE</w:t>
            </w:r>
          </w:p>
        </w:tc>
        <w:tc>
          <w:tcPr>
            <w:tcW w:w="2247" w:type="dxa"/>
            <w:gridSpan w:val="10"/>
          </w:tcPr>
          <w:p w14:paraId="7B6EBACF"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SE</w:t>
            </w:r>
          </w:p>
        </w:tc>
      </w:tr>
      <w:tr w:rsidR="00D16B79" w:rsidRPr="00D16B79" w14:paraId="62E9FADA" w14:textId="77777777" w:rsidTr="00953EC7">
        <w:tc>
          <w:tcPr>
            <w:tcW w:w="2245" w:type="dxa"/>
            <w:vMerge/>
          </w:tcPr>
          <w:p w14:paraId="6FE3D5B7"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p>
        </w:tc>
        <w:tc>
          <w:tcPr>
            <w:tcW w:w="740" w:type="dxa"/>
            <w:gridSpan w:val="2"/>
          </w:tcPr>
          <w:p w14:paraId="128ABB07"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67" w:type="dxa"/>
            <w:gridSpan w:val="3"/>
          </w:tcPr>
          <w:p w14:paraId="6F35C498"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687" w:type="dxa"/>
            <w:gridSpan w:val="5"/>
          </w:tcPr>
          <w:p w14:paraId="7CC3FF3D"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853" w:type="dxa"/>
            <w:gridSpan w:val="5"/>
          </w:tcPr>
          <w:p w14:paraId="0623C977"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1010" w:type="dxa"/>
            <w:gridSpan w:val="5"/>
          </w:tcPr>
          <w:p w14:paraId="25F488EA"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701" w:type="dxa"/>
            <w:gridSpan w:val="5"/>
          </w:tcPr>
          <w:p w14:paraId="313532B4"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c>
          <w:tcPr>
            <w:tcW w:w="742" w:type="dxa"/>
            <w:gridSpan w:val="5"/>
          </w:tcPr>
          <w:p w14:paraId="60E6F7FC"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Close</w:t>
            </w:r>
          </w:p>
        </w:tc>
        <w:tc>
          <w:tcPr>
            <w:tcW w:w="1505" w:type="dxa"/>
            <w:gridSpan w:val="5"/>
          </w:tcPr>
          <w:p w14:paraId="17C45B29"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Far</w:t>
            </w:r>
          </w:p>
        </w:tc>
      </w:tr>
      <w:tr w:rsidR="00D16B79" w:rsidRPr="00D16B79" w14:paraId="01A309C2" w14:textId="77777777" w:rsidTr="00953EC7">
        <w:tc>
          <w:tcPr>
            <w:tcW w:w="2245" w:type="dxa"/>
          </w:tcPr>
          <w:p w14:paraId="4549578F" w14:textId="77777777" w:rsidR="00F72729" w:rsidRPr="00D16B79" w:rsidRDefault="00F72729" w:rsidP="00F72729">
            <w:pPr>
              <w:autoSpaceDE w:val="0"/>
              <w:autoSpaceDN w:val="0"/>
              <w:adjustRightInd w:val="0"/>
              <w:spacing w:line="216" w:lineRule="auto"/>
              <w:rPr>
                <w:rFonts w:ascii="Times New Roman" w:hAnsi="Times New Roman"/>
                <w:sz w:val="20"/>
                <w:szCs w:val="20"/>
                <w:lang w:val="en-US"/>
              </w:rPr>
            </w:pPr>
            <w:r w:rsidRPr="00D16B79">
              <w:rPr>
                <w:rFonts w:ascii="Times New Roman" w:hAnsi="Times New Roman"/>
                <w:sz w:val="20"/>
                <w:szCs w:val="20"/>
                <w:lang w:val="en-US"/>
              </w:rPr>
              <w:t>Amount</w:t>
            </w:r>
          </w:p>
        </w:tc>
        <w:tc>
          <w:tcPr>
            <w:tcW w:w="740" w:type="dxa"/>
            <w:gridSpan w:val="2"/>
          </w:tcPr>
          <w:p w14:paraId="29B0E50A"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.10</w:t>
            </w:r>
          </w:p>
        </w:tc>
        <w:tc>
          <w:tcPr>
            <w:tcW w:w="867" w:type="dxa"/>
            <w:gridSpan w:val="3"/>
          </w:tcPr>
          <w:p w14:paraId="024F6D2E"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.16</w:t>
            </w:r>
          </w:p>
        </w:tc>
        <w:tc>
          <w:tcPr>
            <w:tcW w:w="687" w:type="dxa"/>
            <w:gridSpan w:val="5"/>
          </w:tcPr>
          <w:p w14:paraId="3C1C2832"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.24</w:t>
            </w:r>
          </w:p>
        </w:tc>
        <w:tc>
          <w:tcPr>
            <w:tcW w:w="853" w:type="dxa"/>
            <w:gridSpan w:val="5"/>
          </w:tcPr>
          <w:p w14:paraId="1F3EDFA2"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.28</w:t>
            </w:r>
          </w:p>
        </w:tc>
        <w:tc>
          <w:tcPr>
            <w:tcW w:w="1010" w:type="dxa"/>
            <w:gridSpan w:val="5"/>
          </w:tcPr>
          <w:p w14:paraId="4A160FAF"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.12</w:t>
            </w:r>
          </w:p>
        </w:tc>
        <w:tc>
          <w:tcPr>
            <w:tcW w:w="701" w:type="dxa"/>
            <w:gridSpan w:val="5"/>
          </w:tcPr>
          <w:p w14:paraId="4B649181"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.16</w:t>
            </w:r>
          </w:p>
        </w:tc>
        <w:tc>
          <w:tcPr>
            <w:tcW w:w="742" w:type="dxa"/>
            <w:gridSpan w:val="5"/>
          </w:tcPr>
          <w:p w14:paraId="6C2ECF09"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.29</w:t>
            </w:r>
          </w:p>
        </w:tc>
        <w:tc>
          <w:tcPr>
            <w:tcW w:w="1505" w:type="dxa"/>
            <w:gridSpan w:val="5"/>
          </w:tcPr>
          <w:p w14:paraId="5AC98FEB" w14:textId="77777777" w:rsidR="00F72729" w:rsidRPr="00D16B79" w:rsidRDefault="00F72729" w:rsidP="00F72729">
            <w:pPr>
              <w:autoSpaceDE w:val="0"/>
              <w:autoSpaceDN w:val="0"/>
              <w:adjustRightInd w:val="0"/>
              <w:spacing w:line="216" w:lineRule="auto"/>
              <w:jc w:val="center"/>
              <w:rPr>
                <w:rFonts w:ascii="Times New Roman" w:hAnsi="Times New Roman"/>
                <w:sz w:val="20"/>
                <w:szCs w:val="20"/>
                <w:lang w:val="en-US"/>
              </w:rPr>
            </w:pPr>
            <w:r w:rsidRPr="00D16B79">
              <w:rPr>
                <w:rFonts w:ascii="Times New Roman" w:hAnsi="Times New Roman"/>
                <w:sz w:val="20"/>
                <w:szCs w:val="20"/>
                <w:lang w:val="en-US"/>
              </w:rPr>
              <w:t>.25</w:t>
            </w:r>
          </w:p>
        </w:tc>
      </w:tr>
    </w:tbl>
    <w:p w14:paraId="65E62913" w14:textId="77777777" w:rsidR="001B1DC5" w:rsidRPr="00D16B79" w:rsidRDefault="001B1DC5" w:rsidP="00206117">
      <w:pPr>
        <w:spacing w:line="480" w:lineRule="auto"/>
        <w:rPr>
          <w:rFonts w:ascii="Times New Roman" w:eastAsia="Calibri" w:hAnsi="Times New Roman"/>
          <w:lang w:val="en-US" w:eastAsia="en-US"/>
        </w:rPr>
      </w:pPr>
    </w:p>
    <w:p w14:paraId="4363F6EF" w14:textId="7BDD8D0F" w:rsidR="00BE3A28" w:rsidRPr="00D16B79" w:rsidRDefault="00206117" w:rsidP="00F55739">
      <w:pPr>
        <w:pStyle w:val="Heading1"/>
      </w:pPr>
      <w:r w:rsidRPr="00D16B79">
        <w:t xml:space="preserve">STUDY </w:t>
      </w:r>
      <w:r w:rsidR="00C21AB1" w:rsidRPr="00D16B79">
        <w:t>1</w:t>
      </w:r>
      <w:r w:rsidR="006D6326" w:rsidRPr="00D16B79">
        <w:t xml:space="preserve">: </w:t>
      </w:r>
      <w:r w:rsidR="00350F01" w:rsidRPr="00D16B79">
        <w:t>JOINT V</w:t>
      </w:r>
      <w:r w:rsidR="00506E73" w:rsidRPr="00D16B79">
        <w:t>ERSUS</w:t>
      </w:r>
      <w:r w:rsidR="00350F01" w:rsidRPr="00D16B79">
        <w:t xml:space="preserve"> SEPARATE EVALUATION</w:t>
      </w:r>
      <w:r w:rsidR="00506E73" w:rsidRPr="00D16B79">
        <w:t xml:space="preserve"> – </w:t>
      </w:r>
      <w:r w:rsidR="00350F01" w:rsidRPr="00D16B79">
        <w:t>CHARITIES</w:t>
      </w:r>
    </w:p>
    <w:p w14:paraId="132D77CF" w14:textId="77777777" w:rsidR="001B79F1" w:rsidRPr="00D16B79" w:rsidRDefault="001B79F1" w:rsidP="00A474F6">
      <w:pPr>
        <w:spacing w:line="480" w:lineRule="auto"/>
        <w:rPr>
          <w:lang w:val="en-US"/>
        </w:rPr>
      </w:pPr>
    </w:p>
    <w:p w14:paraId="40BBC78B" w14:textId="0FB5CF16" w:rsidR="00EC3B19" w:rsidRPr="00D16B79" w:rsidRDefault="000C5624" w:rsidP="00A474F6">
      <w:pPr>
        <w:spacing w:line="480" w:lineRule="auto"/>
        <w:ind w:firstLine="720"/>
        <w:rPr>
          <w:lang w:val="en-US"/>
        </w:rPr>
      </w:pPr>
      <w:bookmarkStart w:id="7" w:name="_Hlk72425987"/>
      <w:r w:rsidRPr="00D16B79">
        <w:rPr>
          <w:lang w:val="en-US"/>
        </w:rPr>
        <w:t xml:space="preserve">Studies </w:t>
      </w:r>
      <w:r w:rsidR="00C21AB1" w:rsidRPr="00D16B79">
        <w:rPr>
          <w:lang w:val="en-US"/>
        </w:rPr>
        <w:t>1</w:t>
      </w:r>
      <w:r w:rsidRPr="00D16B79">
        <w:rPr>
          <w:lang w:val="en-US"/>
        </w:rPr>
        <w:t xml:space="preserve"> and </w:t>
      </w:r>
      <w:r w:rsidR="00C21AB1" w:rsidRPr="00D16B79">
        <w:rPr>
          <w:lang w:val="en-US"/>
        </w:rPr>
        <w:t>2</w:t>
      </w:r>
      <w:r w:rsidRPr="00D16B79">
        <w:rPr>
          <w:lang w:val="en-US"/>
        </w:rPr>
        <w:t xml:space="preserve"> aim</w:t>
      </w:r>
      <w:r w:rsidR="001B1DC5" w:rsidRPr="00D16B79">
        <w:rPr>
          <w:lang w:val="en-US"/>
        </w:rPr>
        <w:t>ed</w:t>
      </w:r>
      <w:r w:rsidRPr="00D16B79">
        <w:rPr>
          <w:lang w:val="en-US"/>
        </w:rPr>
        <w:t xml:space="preserve"> to test </w:t>
      </w:r>
      <w:r w:rsidR="007F6B2E" w:rsidRPr="00D16B79">
        <w:rPr>
          <w:lang w:val="en-US"/>
        </w:rPr>
        <w:t>our key proposition that</w:t>
      </w:r>
      <w:r w:rsidR="00771576" w:rsidRPr="00D16B79">
        <w:rPr>
          <w:lang w:val="en-US"/>
        </w:rPr>
        <w:t xml:space="preserve"> </w:t>
      </w:r>
      <w:r w:rsidR="00EC5AC0" w:rsidRPr="00D16B79">
        <w:rPr>
          <w:lang w:val="en-US"/>
        </w:rPr>
        <w:t xml:space="preserve">consumers </w:t>
      </w:r>
      <w:r w:rsidR="007F6B2E" w:rsidRPr="00D16B79">
        <w:rPr>
          <w:lang w:val="en-US"/>
        </w:rPr>
        <w:t xml:space="preserve">tend to </w:t>
      </w:r>
      <w:r w:rsidR="00954FA9" w:rsidRPr="00D16B79">
        <w:rPr>
          <w:lang w:val="en-US"/>
        </w:rPr>
        <w:t>donat</w:t>
      </w:r>
      <w:r w:rsidR="00EC5AC0" w:rsidRPr="00D16B79">
        <w:rPr>
          <w:lang w:val="en-US"/>
        </w:rPr>
        <w:t>e more</w:t>
      </w:r>
      <w:r w:rsidR="00954FA9" w:rsidRPr="00D16B79">
        <w:rPr>
          <w:lang w:val="en-US"/>
        </w:rPr>
        <w:t xml:space="preserve"> to a</w:t>
      </w:r>
      <w:r w:rsidR="00E305F1" w:rsidRPr="00D16B79">
        <w:rPr>
          <w:lang w:val="en-US"/>
        </w:rPr>
        <w:t xml:space="preserve"> cause </w:t>
      </w:r>
      <w:r w:rsidR="003C404E" w:rsidRPr="00D16B79">
        <w:rPr>
          <w:lang w:val="en-US"/>
        </w:rPr>
        <w:t>farther</w:t>
      </w:r>
      <w:r w:rsidR="00990FD9" w:rsidRPr="00D16B79">
        <w:rPr>
          <w:lang w:val="en-US"/>
        </w:rPr>
        <w:t xml:space="preserve"> </w:t>
      </w:r>
      <w:r w:rsidR="00954FA9" w:rsidRPr="00D16B79">
        <w:rPr>
          <w:lang w:val="en-US"/>
        </w:rPr>
        <w:t xml:space="preserve">from its goal </w:t>
      </w:r>
      <w:r w:rsidR="00CF0E75" w:rsidRPr="00D16B79">
        <w:rPr>
          <w:lang w:val="en-US"/>
        </w:rPr>
        <w:t>when options are evaluated jointly (</w:t>
      </w:r>
      <w:r w:rsidR="007E6738" w:rsidRPr="00D16B79">
        <w:rPr>
          <w:lang w:val="en-US"/>
        </w:rPr>
        <w:t>vs.</w:t>
      </w:r>
      <w:r w:rsidR="00CF0E75" w:rsidRPr="00D16B79">
        <w:rPr>
          <w:lang w:val="en-US"/>
        </w:rPr>
        <w:t xml:space="preserve"> </w:t>
      </w:r>
      <w:r w:rsidR="00954FA9" w:rsidRPr="00D16B79">
        <w:rPr>
          <w:lang w:val="en-US"/>
        </w:rPr>
        <w:t>separatel</w:t>
      </w:r>
      <w:r w:rsidR="00D37E82" w:rsidRPr="00D16B79">
        <w:rPr>
          <w:lang w:val="en-US"/>
        </w:rPr>
        <w:t>y</w:t>
      </w:r>
      <w:r w:rsidR="009D0BD4" w:rsidRPr="00D16B79">
        <w:rPr>
          <w:lang w:val="en-US"/>
        </w:rPr>
        <w:t>)</w:t>
      </w:r>
      <w:r w:rsidR="00954FA9" w:rsidRPr="00D16B79">
        <w:rPr>
          <w:lang w:val="en-US"/>
        </w:rPr>
        <w:t xml:space="preserve">. </w:t>
      </w:r>
      <w:r w:rsidR="006B5A77">
        <w:rPr>
          <w:lang w:val="en-US"/>
        </w:rPr>
        <w:t>Further</w:t>
      </w:r>
      <w:r w:rsidR="00CA2EC3" w:rsidRPr="00D16B79">
        <w:rPr>
          <w:lang w:val="en-US"/>
        </w:rPr>
        <w:t>,</w:t>
      </w:r>
      <w:r w:rsidR="007F6B2E" w:rsidRPr="00D16B79">
        <w:rPr>
          <w:lang w:val="en-US"/>
        </w:rPr>
        <w:t xml:space="preserve"> we test for the mediating role of </w:t>
      </w:r>
      <w:r w:rsidR="007E6738" w:rsidRPr="00D16B79">
        <w:rPr>
          <w:lang w:val="en-US"/>
        </w:rPr>
        <w:t xml:space="preserve">perceived </w:t>
      </w:r>
      <w:r w:rsidR="007F6B2E" w:rsidRPr="00D16B79">
        <w:rPr>
          <w:lang w:val="en-US"/>
        </w:rPr>
        <w:t>need</w:t>
      </w:r>
      <w:r w:rsidR="00CC422D" w:rsidRPr="00D16B79">
        <w:rPr>
          <w:lang w:val="en-US"/>
        </w:rPr>
        <w:t xml:space="preserve"> for help</w:t>
      </w:r>
      <w:r w:rsidR="007F6B2E" w:rsidRPr="00D16B79">
        <w:rPr>
          <w:lang w:val="en-US"/>
        </w:rPr>
        <w:t xml:space="preserve">. </w:t>
      </w:r>
      <w:r w:rsidR="00EC5AC0" w:rsidRPr="00D16B79">
        <w:rPr>
          <w:lang w:val="en-US"/>
        </w:rPr>
        <w:t>Study</w:t>
      </w:r>
      <w:r w:rsidR="00C21AB1" w:rsidRPr="00D16B79">
        <w:rPr>
          <w:lang w:val="en-US"/>
        </w:rPr>
        <w:t xml:space="preserve"> 1</w:t>
      </w:r>
      <w:r w:rsidR="00EC5AC0" w:rsidRPr="00D16B79">
        <w:rPr>
          <w:lang w:val="en-US"/>
        </w:rPr>
        <w:t xml:space="preserve"> </w:t>
      </w:r>
      <w:r w:rsidR="00CA2EC3" w:rsidRPr="00D16B79">
        <w:rPr>
          <w:lang w:val="en-US"/>
        </w:rPr>
        <w:t xml:space="preserve">examined </w:t>
      </w:r>
      <w:r w:rsidR="00EC5AC0" w:rsidRPr="00D16B79">
        <w:rPr>
          <w:lang w:val="en-US"/>
        </w:rPr>
        <w:t xml:space="preserve">this effect with </w:t>
      </w:r>
      <w:r w:rsidR="004C0A74" w:rsidRPr="00D16B79">
        <w:rPr>
          <w:lang w:val="en-US"/>
        </w:rPr>
        <w:t>charitable organizations</w:t>
      </w:r>
      <w:r w:rsidR="00506E73" w:rsidRPr="00D16B79">
        <w:rPr>
          <w:lang w:val="en-US"/>
        </w:rPr>
        <w:t>, and</w:t>
      </w:r>
      <w:r w:rsidR="00EC5AC0" w:rsidRPr="00D16B79">
        <w:rPr>
          <w:lang w:val="en-US"/>
        </w:rPr>
        <w:t xml:space="preserve"> </w:t>
      </w:r>
      <w:r w:rsidR="00506E73" w:rsidRPr="00D16B79">
        <w:rPr>
          <w:lang w:val="en-US"/>
        </w:rPr>
        <w:t>S</w:t>
      </w:r>
      <w:r w:rsidR="00EC5AC0" w:rsidRPr="00D16B79">
        <w:rPr>
          <w:lang w:val="en-US"/>
        </w:rPr>
        <w:t xml:space="preserve">tudy </w:t>
      </w:r>
      <w:r w:rsidR="00C21AB1" w:rsidRPr="00D16B79">
        <w:rPr>
          <w:lang w:val="en-US"/>
        </w:rPr>
        <w:t>2</w:t>
      </w:r>
      <w:r w:rsidR="00EC5AC0" w:rsidRPr="00D16B79">
        <w:rPr>
          <w:lang w:val="en-US"/>
        </w:rPr>
        <w:t xml:space="preserve"> </w:t>
      </w:r>
      <w:r w:rsidR="001B1DC5" w:rsidRPr="00D16B79">
        <w:rPr>
          <w:lang w:val="en-US"/>
        </w:rPr>
        <w:t xml:space="preserve">tested </w:t>
      </w:r>
      <w:r w:rsidR="00EC5AC0" w:rsidRPr="00D16B79">
        <w:rPr>
          <w:lang w:val="en-US"/>
        </w:rPr>
        <w:t xml:space="preserve">the effect with individual fundraisers. </w:t>
      </w:r>
      <w:r w:rsidR="00954FA9" w:rsidRPr="00D16B79">
        <w:rPr>
          <w:lang w:val="en-US"/>
        </w:rPr>
        <w:t xml:space="preserve">In </w:t>
      </w:r>
      <w:r w:rsidR="00506E73" w:rsidRPr="00D16B79">
        <w:rPr>
          <w:lang w:val="en-US"/>
        </w:rPr>
        <w:t>S</w:t>
      </w:r>
      <w:r w:rsidR="00E305F1" w:rsidRPr="00D16B79">
        <w:rPr>
          <w:lang w:val="en-US"/>
        </w:rPr>
        <w:t xml:space="preserve">tudy </w:t>
      </w:r>
      <w:r w:rsidR="00C21AB1" w:rsidRPr="00D16B79">
        <w:rPr>
          <w:lang w:val="en-US"/>
        </w:rPr>
        <w:t>1</w:t>
      </w:r>
      <w:r w:rsidR="00D37E82" w:rsidRPr="00D16B79">
        <w:rPr>
          <w:lang w:val="en-US"/>
        </w:rPr>
        <w:t>,</w:t>
      </w:r>
      <w:r w:rsidR="00954FA9" w:rsidRPr="00D16B79">
        <w:rPr>
          <w:lang w:val="en-US"/>
        </w:rPr>
        <w:t xml:space="preserve"> we</w:t>
      </w:r>
      <w:r w:rsidR="00DE438C" w:rsidRPr="00D16B79">
        <w:rPr>
          <w:lang w:val="en-US"/>
        </w:rPr>
        <w:t xml:space="preserve"> use</w:t>
      </w:r>
      <w:r w:rsidR="001B1DC5" w:rsidRPr="00D16B79">
        <w:rPr>
          <w:lang w:val="en-US"/>
        </w:rPr>
        <w:t>d</w:t>
      </w:r>
      <w:r w:rsidR="00DE438C" w:rsidRPr="00D16B79">
        <w:rPr>
          <w:lang w:val="en-US"/>
        </w:rPr>
        <w:t xml:space="preserve"> a </w:t>
      </w:r>
      <w:r w:rsidR="007E6738" w:rsidRPr="00D16B79">
        <w:rPr>
          <w:lang w:val="en-US"/>
        </w:rPr>
        <w:t xml:space="preserve">lottery as a </w:t>
      </w:r>
      <w:r w:rsidR="00DE438C" w:rsidRPr="00D16B79">
        <w:rPr>
          <w:lang w:val="en-US"/>
        </w:rPr>
        <w:t xml:space="preserve">consequential </w:t>
      </w:r>
      <w:r w:rsidR="00CF0E75" w:rsidRPr="00D16B79">
        <w:rPr>
          <w:lang w:val="en-US"/>
        </w:rPr>
        <w:t>dependent measu</w:t>
      </w:r>
      <w:r w:rsidR="00D37E82" w:rsidRPr="00D16B79">
        <w:rPr>
          <w:lang w:val="en-US"/>
        </w:rPr>
        <w:t>r</w:t>
      </w:r>
      <w:r w:rsidR="00CF0E75" w:rsidRPr="00D16B79">
        <w:rPr>
          <w:lang w:val="en-US"/>
        </w:rPr>
        <w:t>e</w:t>
      </w:r>
      <w:r w:rsidR="00DE438C" w:rsidRPr="00D16B79">
        <w:rPr>
          <w:lang w:val="en-US"/>
        </w:rPr>
        <w:t xml:space="preserve"> </w:t>
      </w:r>
      <w:r w:rsidR="00B1510F" w:rsidRPr="00D16B79">
        <w:rPr>
          <w:lang w:val="en-US"/>
        </w:rPr>
        <w:t>and</w:t>
      </w:r>
      <w:r w:rsidR="00C259D0" w:rsidRPr="00D16B79">
        <w:rPr>
          <w:lang w:val="en-US"/>
        </w:rPr>
        <w:t xml:space="preserve"> </w:t>
      </w:r>
      <w:r w:rsidR="00954FA9" w:rsidRPr="00D16B79">
        <w:rPr>
          <w:lang w:val="en-US"/>
        </w:rPr>
        <w:t>emphasiz</w:t>
      </w:r>
      <w:r w:rsidR="00CC527B" w:rsidRPr="00D16B79">
        <w:rPr>
          <w:lang w:val="en-US"/>
        </w:rPr>
        <w:t>e</w:t>
      </w:r>
      <w:r w:rsidR="00C21AB1" w:rsidRPr="00D16B79">
        <w:rPr>
          <w:lang w:val="en-US"/>
        </w:rPr>
        <w:t>d</w:t>
      </w:r>
      <w:r w:rsidR="00954FA9" w:rsidRPr="00D16B79">
        <w:rPr>
          <w:lang w:val="en-US"/>
        </w:rPr>
        <w:t xml:space="preserve"> the distance left to reach the goal</w:t>
      </w:r>
      <w:r w:rsidR="00C21AB1" w:rsidRPr="00D16B79">
        <w:rPr>
          <w:lang w:val="en-US"/>
        </w:rPr>
        <w:t xml:space="preserve"> to ensure participants were aware of how far or close the charity was to reaching </w:t>
      </w:r>
      <w:r w:rsidR="007E6738" w:rsidRPr="00D16B79">
        <w:rPr>
          <w:lang w:val="en-US"/>
        </w:rPr>
        <w:t>its goal</w:t>
      </w:r>
      <w:r w:rsidR="00C21AB1" w:rsidRPr="00D16B79">
        <w:rPr>
          <w:lang w:val="en-US"/>
        </w:rPr>
        <w:t>.</w:t>
      </w:r>
      <w:r w:rsidR="00C259D0" w:rsidRPr="00D16B79">
        <w:rPr>
          <w:lang w:val="en-US"/>
        </w:rPr>
        <w:t xml:space="preserve"> </w:t>
      </w:r>
      <w:r w:rsidR="006B5A77">
        <w:rPr>
          <w:lang w:val="en-US"/>
        </w:rPr>
        <w:t>We also</w:t>
      </w:r>
      <w:r w:rsidR="00EC3B19" w:rsidRPr="00D16B79">
        <w:rPr>
          <w:lang w:val="en-US"/>
        </w:rPr>
        <w:t xml:space="preserve"> measured </w:t>
      </w:r>
      <w:r w:rsidR="00C13C5B" w:rsidRPr="00D16B79">
        <w:rPr>
          <w:lang w:val="en-US"/>
        </w:rPr>
        <w:t xml:space="preserve">a </w:t>
      </w:r>
      <w:r w:rsidR="00816CA0" w:rsidRPr="00D16B79">
        <w:rPr>
          <w:lang w:val="en-US"/>
        </w:rPr>
        <w:t xml:space="preserve">potential alternative explanation for our predicted effect. </w:t>
      </w:r>
      <w:r w:rsidR="00816CA0" w:rsidRPr="00D16B79">
        <w:rPr>
          <w:rFonts w:ascii="Times New Roman" w:eastAsia="Calibri" w:hAnsi="Times New Roman"/>
          <w:lang w:val="en-US"/>
        </w:rPr>
        <w:t xml:space="preserve">Previous work has shown that perceptions of warmth </w:t>
      </w:r>
      <w:r w:rsidR="00C13C5B" w:rsidRPr="00D16B79">
        <w:rPr>
          <w:rFonts w:ascii="Times New Roman" w:eastAsia="Calibri" w:hAnsi="Times New Roman"/>
          <w:lang w:val="en-US"/>
        </w:rPr>
        <w:t>can</w:t>
      </w:r>
      <w:r w:rsidR="00816CA0" w:rsidRPr="00D16B79">
        <w:rPr>
          <w:rFonts w:ascii="Times New Roman" w:eastAsia="Calibri" w:hAnsi="Times New Roman"/>
          <w:lang w:val="en-US"/>
        </w:rPr>
        <w:t xml:space="preserve"> increase donations </w:t>
      </w:r>
      <w:r w:rsidR="002C2CB7" w:rsidRPr="00D16B79">
        <w:rPr>
          <w:rFonts w:ascii="Times New Roman" w:eastAsia="Calibri" w:hAnsi="Times New Roman"/>
          <w:lang w:val="en-US"/>
        </w:rPr>
        <w:fldChar w:fldCharType="begin"/>
      </w:r>
      <w:r w:rsidR="00181321">
        <w:rPr>
          <w:rFonts w:ascii="Times New Roman" w:eastAsia="Calibri" w:hAnsi="Times New Roman"/>
          <w:lang w:val="en-US"/>
        </w:rPr>
        <w:instrText xml:space="preserve"> ADDIN ZOTERO_ITEM CSL_CITATION {"citationID":"PNEG4GU5","properties":{"formattedCitation":"(Kervyn, Fiske, and Malone 2022)","plainCitation":"(Kervyn, Fiske, and Malone 2022)","noteIndex":0},"citationItems":[{"id":7800,"uris":["http://zotero.org/users/4606674/items/3K8UQQTK"],"itemData":{"id":7800,"type":"article-journal","abstract":"People form impressions about brands as they do about social groups. The Brands as Intentional Agents Framework (BIAF) a decade ago derived from the Stereotype Content Model (SCM) two dimensions of consumers' brand perception: warmth (worthy intentions) and competence (ability). The BIAF dimensions and their predictive validity have replicated the general primacy of warmth (intentions) and developed the congruence principle of fit to context. BIAF domains include various brands, product design, and countries as origins of products and as travel destinations. Brand anthropomorphism plays a role in perceiving brands' morality, personality, and humanity. Consumer–brand relations follow from anthropomorphism: perceived brand-self congruence, brand trust, and brand love. Corporate social (ir)responsibility and human relations, especially warm, worthy intent, interplay with BIAF dimensions, as do service marketing, service recovery, and digital marketing. Case studies describe customer loyalty, especially to warm brands, corresponds to profits, charitable donations, and healthcare usage. As the SCM and BIAF evolve, research potential regards the dimensions and beyond. BIAF has stood the tests of time, targets (brands, products, and services), and alternative theory (brand personality, brand relationships), all being compatible. Understanding how people view corporations as analogous to social groups advances theory and practice in consumer psychology.","container-title":"Consumer Psychology Review","DOI":"10.1002/arcp.1074","ISSN":"2476-1281","issue":"1","language":"en","note":"_eprint: https://onlinelibrary.wiley.com/doi/pdf/10.1002/arcp.1074","page":"51-68","source":"Wiley Online Library","title":"Social perception of brands: Warmth and competence define images of both brands and social groups","title-short":"Social perception of brands","volume":"5","author":[{"family":"Kervyn","given":"Nicolas"},{"family":"Fiske","given":"Susan T."},{"family":"Malone","given":"Chris"}],"issued":{"date-parts":[["2022"]]}}}],"schema":"https://github.com/citation-style-language/schema/raw/master/csl-citation.json"} </w:instrText>
      </w:r>
      <w:r w:rsidR="002C2CB7" w:rsidRPr="00D16B79">
        <w:rPr>
          <w:rFonts w:ascii="Times New Roman" w:eastAsia="Calibri" w:hAnsi="Times New Roman"/>
          <w:lang w:val="en-US"/>
        </w:rPr>
        <w:fldChar w:fldCharType="separate"/>
      </w:r>
      <w:r w:rsidR="002C2CB7" w:rsidRPr="00D16B79">
        <w:rPr>
          <w:rFonts w:ascii="Times New Roman" w:hAnsi="Times New Roman"/>
          <w:lang w:val="en-US"/>
        </w:rPr>
        <w:t>(Kervyn, Fiske, and Malone 2022)</w:t>
      </w:r>
      <w:r w:rsidR="002C2CB7" w:rsidRPr="00D16B79">
        <w:rPr>
          <w:rFonts w:ascii="Times New Roman" w:eastAsia="Calibri" w:hAnsi="Times New Roman"/>
          <w:lang w:val="en-US"/>
        </w:rPr>
        <w:fldChar w:fldCharType="end"/>
      </w:r>
      <w:r w:rsidR="00C13C5B" w:rsidRPr="00D16B79">
        <w:rPr>
          <w:rFonts w:ascii="Times New Roman" w:eastAsia="Calibri" w:hAnsi="Times New Roman"/>
          <w:lang w:val="en-US"/>
        </w:rPr>
        <w:t>.</w:t>
      </w:r>
      <w:r w:rsidR="00816CA0" w:rsidRPr="00D16B79">
        <w:rPr>
          <w:rFonts w:ascii="Times New Roman" w:eastAsia="Calibri" w:hAnsi="Times New Roman"/>
          <w:lang w:val="en-US"/>
        </w:rPr>
        <w:t xml:space="preserve"> It is possible that </w:t>
      </w:r>
      <w:r w:rsidR="00C13C5B" w:rsidRPr="00D16B79">
        <w:rPr>
          <w:rFonts w:ascii="Times New Roman" w:eastAsia="Calibri" w:hAnsi="Times New Roman"/>
          <w:lang w:val="en-US"/>
        </w:rPr>
        <w:t xml:space="preserve">joint evaluation makes the </w:t>
      </w:r>
      <w:r w:rsidR="00816CA0" w:rsidRPr="00D16B79">
        <w:rPr>
          <w:rFonts w:ascii="Times New Roman" w:eastAsia="Calibri" w:hAnsi="Times New Roman"/>
          <w:lang w:val="en-US"/>
        </w:rPr>
        <w:t xml:space="preserve">charity farther from its goal </w:t>
      </w:r>
      <w:r w:rsidR="00C13C5B" w:rsidRPr="00D16B79">
        <w:rPr>
          <w:rFonts w:ascii="Times New Roman" w:eastAsia="Calibri" w:hAnsi="Times New Roman"/>
          <w:lang w:val="en-US"/>
        </w:rPr>
        <w:t>appear</w:t>
      </w:r>
      <w:r w:rsidR="00816CA0" w:rsidRPr="00D16B79">
        <w:rPr>
          <w:rFonts w:ascii="Times New Roman" w:eastAsia="Calibri" w:hAnsi="Times New Roman"/>
          <w:lang w:val="en-US"/>
        </w:rPr>
        <w:t xml:space="preserve"> warmer than the one closer to its goal </w:t>
      </w:r>
      <w:r w:rsidR="00C13C5B" w:rsidRPr="00D16B79">
        <w:rPr>
          <w:rFonts w:ascii="Times New Roman" w:eastAsia="Calibri" w:hAnsi="Times New Roman"/>
          <w:lang w:val="en-US"/>
        </w:rPr>
        <w:t xml:space="preserve">compared to separate evaluations </w:t>
      </w:r>
      <w:r w:rsidR="00816CA0" w:rsidRPr="00D16B79">
        <w:rPr>
          <w:rFonts w:ascii="Times New Roman" w:eastAsia="Calibri" w:hAnsi="Times New Roman"/>
          <w:lang w:val="en-US"/>
        </w:rPr>
        <w:t xml:space="preserve">and this drives greater donations. </w:t>
      </w:r>
    </w:p>
    <w:p w14:paraId="7798C97F" w14:textId="2AF82256" w:rsidR="00990FD9" w:rsidRPr="00D16B79" w:rsidRDefault="00BE3A28" w:rsidP="002C355F">
      <w:pPr>
        <w:pStyle w:val="Heading2"/>
      </w:pPr>
      <w:r w:rsidRPr="00D16B79">
        <w:lastRenderedPageBreak/>
        <w:t>Method</w:t>
      </w:r>
    </w:p>
    <w:p w14:paraId="57D3D456" w14:textId="5E5A200B" w:rsidR="00BE3A28" w:rsidRPr="00D16B79" w:rsidRDefault="00BE3A28" w:rsidP="00E473EF">
      <w:pPr>
        <w:spacing w:line="480" w:lineRule="auto"/>
        <w:ind w:firstLine="720"/>
        <w:rPr>
          <w:lang w:val="en-US"/>
        </w:rPr>
      </w:pPr>
      <w:r w:rsidRPr="00D16B79">
        <w:rPr>
          <w:i/>
          <w:iCs/>
          <w:lang w:val="en-US"/>
        </w:rPr>
        <w:t>Participants and design.</w:t>
      </w:r>
      <w:r w:rsidR="001F1618" w:rsidRPr="00D16B79">
        <w:rPr>
          <w:i/>
          <w:iCs/>
          <w:lang w:val="en-US"/>
        </w:rPr>
        <w:t xml:space="preserve"> </w:t>
      </w:r>
      <w:r w:rsidR="00C259D0" w:rsidRPr="00D16B79">
        <w:rPr>
          <w:lang w:val="en-US"/>
        </w:rPr>
        <w:t>Three hundred</w:t>
      </w:r>
      <w:r w:rsidR="00954FA9" w:rsidRPr="00D16B79">
        <w:rPr>
          <w:lang w:val="en-US"/>
        </w:rPr>
        <w:t xml:space="preserve"> </w:t>
      </w:r>
      <w:r w:rsidR="000A3A33">
        <w:rPr>
          <w:lang w:val="en-US"/>
        </w:rPr>
        <w:t xml:space="preserve">UK </w:t>
      </w:r>
      <w:r w:rsidR="00954FA9" w:rsidRPr="00D16B79">
        <w:rPr>
          <w:lang w:val="en-US"/>
        </w:rPr>
        <w:t xml:space="preserve">participants </w:t>
      </w:r>
      <w:r w:rsidR="00FD0663" w:rsidRPr="00D16B79">
        <w:rPr>
          <w:lang w:val="en-US"/>
        </w:rPr>
        <w:t xml:space="preserve">from Prolific Academic </w:t>
      </w:r>
      <w:r w:rsidR="00954FA9" w:rsidRPr="00D16B79">
        <w:rPr>
          <w:lang w:val="en-US"/>
        </w:rPr>
        <w:t>(</w:t>
      </w:r>
      <w:r w:rsidR="00CA0716" w:rsidRPr="00D16B79">
        <w:rPr>
          <w:lang w:val="en-US"/>
        </w:rPr>
        <w:t xml:space="preserve">66.3% </w:t>
      </w:r>
      <w:r w:rsidR="007E7906" w:rsidRPr="00D16B79">
        <w:rPr>
          <w:lang w:val="en-US"/>
        </w:rPr>
        <w:t>women</w:t>
      </w:r>
      <w:r w:rsidR="00CA0716" w:rsidRPr="00D16B79">
        <w:rPr>
          <w:lang w:val="en-US"/>
        </w:rPr>
        <w:t xml:space="preserve">, </w:t>
      </w:r>
      <w:r w:rsidR="00954FA9" w:rsidRPr="00D16B79">
        <w:rPr>
          <w:lang w:val="en-US"/>
        </w:rPr>
        <w:t>M</w:t>
      </w:r>
      <w:r w:rsidR="00954FA9" w:rsidRPr="00D16B79">
        <w:rPr>
          <w:vertAlign w:val="subscript"/>
          <w:lang w:val="en-US"/>
        </w:rPr>
        <w:t>age</w:t>
      </w:r>
      <w:r w:rsidR="00954FA9" w:rsidRPr="00D16B79">
        <w:rPr>
          <w:lang w:val="en-US"/>
        </w:rPr>
        <w:t xml:space="preserve"> = 36.28) took part </w:t>
      </w:r>
      <w:r w:rsidR="000A3A33">
        <w:rPr>
          <w:lang w:val="en-US"/>
        </w:rPr>
        <w:t xml:space="preserve">in this study </w:t>
      </w:r>
      <w:r w:rsidR="00954FA9" w:rsidRPr="00D16B79">
        <w:rPr>
          <w:lang w:val="en-US"/>
        </w:rPr>
        <w:t xml:space="preserve">in exchange for payment. The study </w:t>
      </w:r>
      <w:r w:rsidR="007F6B2E" w:rsidRPr="00D16B79">
        <w:rPr>
          <w:lang w:val="en-US"/>
        </w:rPr>
        <w:t>used</w:t>
      </w:r>
      <w:r w:rsidR="00954FA9" w:rsidRPr="00D16B79">
        <w:rPr>
          <w:lang w:val="en-US"/>
        </w:rPr>
        <w:t xml:space="preserve"> a 3</w:t>
      </w:r>
      <w:r w:rsidR="00506E73" w:rsidRPr="00D16B79">
        <w:rPr>
          <w:lang w:val="en-US"/>
        </w:rPr>
        <w:t>-factor</w:t>
      </w:r>
      <w:r w:rsidR="00954FA9" w:rsidRPr="00D16B79">
        <w:rPr>
          <w:lang w:val="en-US"/>
        </w:rPr>
        <w:t xml:space="preserve"> (Evaluation type: </w:t>
      </w:r>
      <w:r w:rsidR="00896E06" w:rsidRPr="00D16B79">
        <w:rPr>
          <w:lang w:val="en-US"/>
        </w:rPr>
        <w:t>j</w:t>
      </w:r>
      <w:r w:rsidR="00954FA9" w:rsidRPr="00D16B79">
        <w:rPr>
          <w:lang w:val="en-US"/>
        </w:rPr>
        <w:t>oint vs</w:t>
      </w:r>
      <w:r w:rsidR="00506E73" w:rsidRPr="00D16B79">
        <w:rPr>
          <w:lang w:val="en-US"/>
        </w:rPr>
        <w:t>.</w:t>
      </w:r>
      <w:r w:rsidR="00954FA9" w:rsidRPr="00D16B79">
        <w:rPr>
          <w:lang w:val="en-US"/>
        </w:rPr>
        <w:t xml:space="preserve"> </w:t>
      </w:r>
      <w:r w:rsidR="00896E06" w:rsidRPr="00D16B79">
        <w:rPr>
          <w:lang w:val="en-US"/>
        </w:rPr>
        <w:t>s</w:t>
      </w:r>
      <w:r w:rsidR="00954FA9" w:rsidRPr="00D16B79">
        <w:rPr>
          <w:lang w:val="en-US"/>
        </w:rPr>
        <w:t>eparate far vs</w:t>
      </w:r>
      <w:r w:rsidR="00506E73" w:rsidRPr="00D16B79">
        <w:rPr>
          <w:lang w:val="en-US"/>
        </w:rPr>
        <w:t>.</w:t>
      </w:r>
      <w:r w:rsidR="00954FA9" w:rsidRPr="00D16B79">
        <w:rPr>
          <w:lang w:val="en-US"/>
        </w:rPr>
        <w:t xml:space="preserve"> </w:t>
      </w:r>
      <w:r w:rsidR="00896E06" w:rsidRPr="00D16B79">
        <w:rPr>
          <w:lang w:val="en-US"/>
        </w:rPr>
        <w:t>s</w:t>
      </w:r>
      <w:r w:rsidR="00954FA9" w:rsidRPr="00D16B79">
        <w:rPr>
          <w:lang w:val="en-US"/>
        </w:rPr>
        <w:t xml:space="preserve">eparate close) </w:t>
      </w:r>
      <w:r w:rsidR="00CF0E75" w:rsidRPr="00D16B79">
        <w:rPr>
          <w:lang w:val="en-US"/>
        </w:rPr>
        <w:t>between-</w:t>
      </w:r>
      <w:r w:rsidR="00F37E7F" w:rsidRPr="00D16B79">
        <w:rPr>
          <w:rFonts w:asciiTheme="majorHAnsi" w:hAnsiTheme="majorHAnsi" w:cstheme="majorHAnsi"/>
          <w:lang w:val="en-US"/>
        </w:rPr>
        <w:t xml:space="preserve">subjects </w:t>
      </w:r>
      <w:r w:rsidR="00954FA9" w:rsidRPr="00D16B79">
        <w:rPr>
          <w:lang w:val="en-US"/>
        </w:rPr>
        <w:t xml:space="preserve">design. </w:t>
      </w:r>
    </w:p>
    <w:p w14:paraId="13ECD61D" w14:textId="6063926B" w:rsidR="00D8495C" w:rsidRDefault="00BE3A28" w:rsidP="001F2D46">
      <w:pPr>
        <w:spacing w:line="480" w:lineRule="auto"/>
        <w:ind w:firstLine="720"/>
        <w:rPr>
          <w:lang w:val="en-US"/>
        </w:rPr>
      </w:pPr>
      <w:r w:rsidRPr="00D16B79">
        <w:rPr>
          <w:i/>
          <w:iCs/>
          <w:lang w:val="en-US"/>
        </w:rPr>
        <w:t>Procedure.</w:t>
      </w:r>
      <w:r w:rsidR="00954FA9" w:rsidRPr="00D16B79">
        <w:rPr>
          <w:i/>
          <w:iCs/>
          <w:lang w:val="en-US"/>
        </w:rPr>
        <w:t xml:space="preserve"> </w:t>
      </w:r>
      <w:bookmarkStart w:id="8" w:name="_Hlk110444525"/>
      <w:r w:rsidR="0056237B">
        <w:rPr>
          <w:rFonts w:ascii="Times New Roman" w:eastAsia="Calibri" w:hAnsi="Times New Roman"/>
          <w:lang w:val="en-US" w:eastAsia="en-US"/>
        </w:rPr>
        <w:t>W</w:t>
      </w:r>
      <w:r w:rsidR="00C21AB1" w:rsidRPr="00D16B79">
        <w:rPr>
          <w:rFonts w:ascii="Times New Roman" w:eastAsia="Calibri" w:hAnsi="Times New Roman"/>
          <w:lang w:val="en-US" w:eastAsia="en-US"/>
        </w:rPr>
        <w:t xml:space="preserve">e used two </w:t>
      </w:r>
      <w:r w:rsidR="004D7F29" w:rsidRPr="00D16B79">
        <w:rPr>
          <w:rFonts w:ascii="Times New Roman" w:eastAsia="Calibri" w:hAnsi="Times New Roman"/>
          <w:lang w:val="en-US" w:eastAsia="en-US"/>
        </w:rPr>
        <w:t>real</w:t>
      </w:r>
      <w:r w:rsidR="00C21AB1" w:rsidRPr="00D16B79">
        <w:rPr>
          <w:rFonts w:ascii="Times New Roman" w:eastAsia="Calibri" w:hAnsi="Times New Roman"/>
          <w:lang w:val="en-US" w:eastAsia="en-US"/>
        </w:rPr>
        <w:t xml:space="preserve"> charities</w:t>
      </w:r>
      <w:r w:rsidR="006B5A77">
        <w:rPr>
          <w:rFonts w:ascii="Times New Roman" w:eastAsia="Calibri" w:hAnsi="Times New Roman"/>
          <w:lang w:val="en-US" w:eastAsia="en-US"/>
        </w:rPr>
        <w:t xml:space="preserve"> (</w:t>
      </w:r>
      <w:r w:rsidR="006B5A77" w:rsidRPr="00D16B79">
        <w:rPr>
          <w:rFonts w:ascii="Times New Roman" w:eastAsia="Calibri" w:hAnsi="Times New Roman"/>
          <w:lang w:val="en-US" w:eastAsia="en-US"/>
        </w:rPr>
        <w:t>FoodShare and Second Harvest</w:t>
      </w:r>
      <w:r w:rsidR="00D8495C">
        <w:rPr>
          <w:rFonts w:ascii="Times New Roman" w:eastAsia="Calibri" w:hAnsi="Times New Roman"/>
          <w:lang w:val="en-US" w:eastAsia="en-US"/>
        </w:rPr>
        <w:t>),</w:t>
      </w:r>
      <w:r w:rsidR="00C21AB1" w:rsidRPr="00D16B79">
        <w:rPr>
          <w:rFonts w:ascii="Times New Roman" w:eastAsia="Calibri" w:hAnsi="Times New Roman"/>
          <w:lang w:val="en-US" w:eastAsia="en-US"/>
        </w:rPr>
        <w:t xml:space="preserve"> </w:t>
      </w:r>
      <w:r w:rsidR="004D7F29" w:rsidRPr="00D16B79">
        <w:rPr>
          <w:rFonts w:ascii="Times New Roman" w:eastAsia="Calibri" w:hAnsi="Times New Roman"/>
          <w:lang w:val="en-US" w:eastAsia="en-US"/>
        </w:rPr>
        <w:t xml:space="preserve">which </w:t>
      </w:r>
      <w:r w:rsidR="00C21AB1" w:rsidRPr="00D16B79">
        <w:rPr>
          <w:rFonts w:ascii="Times New Roman" w:eastAsia="Calibri" w:hAnsi="Times New Roman"/>
          <w:lang w:val="en-US" w:eastAsia="en-US"/>
        </w:rPr>
        <w:t xml:space="preserve">were pretested to ensure they were equivalent in terms of various characteristics such as liking, need, impact, competence, etc. </w:t>
      </w:r>
      <w:r w:rsidR="00C21AB1" w:rsidRPr="00D16B79">
        <w:rPr>
          <w:rFonts w:eastAsia="Calibri"/>
          <w:lang w:val="en-US"/>
        </w:rPr>
        <w:t>(Web Appendix A)</w:t>
      </w:r>
      <w:r w:rsidR="00C21AB1" w:rsidRPr="00D16B79">
        <w:rPr>
          <w:rFonts w:ascii="Times New Roman" w:eastAsia="Calibri" w:hAnsi="Times New Roman"/>
          <w:lang w:val="en-US" w:eastAsia="en-US"/>
        </w:rPr>
        <w:t xml:space="preserve">. </w:t>
      </w:r>
      <w:r w:rsidR="00D961FD" w:rsidRPr="00D16B79">
        <w:rPr>
          <w:lang w:val="en-US"/>
        </w:rPr>
        <w:t>P</w:t>
      </w:r>
      <w:r w:rsidR="0068269D" w:rsidRPr="00D16B79">
        <w:rPr>
          <w:lang w:val="en-US"/>
        </w:rPr>
        <w:t>articipants were</w:t>
      </w:r>
      <w:r w:rsidR="000A3A33">
        <w:rPr>
          <w:lang w:val="en-US"/>
        </w:rPr>
        <w:t xml:space="preserve"> assigned to one of three conditions</w:t>
      </w:r>
      <w:r w:rsidR="0056237B">
        <w:rPr>
          <w:lang w:val="en-US"/>
        </w:rPr>
        <w:t xml:space="preserve"> and were </w:t>
      </w:r>
      <w:r w:rsidR="0068269D" w:rsidRPr="00D16B79">
        <w:rPr>
          <w:lang w:val="en-US"/>
        </w:rPr>
        <w:t>present</w:t>
      </w:r>
      <w:r w:rsidR="005B5E66" w:rsidRPr="00D16B79">
        <w:rPr>
          <w:lang w:val="en-US"/>
        </w:rPr>
        <w:t>ed</w:t>
      </w:r>
      <w:r w:rsidR="0068269D" w:rsidRPr="00D16B79">
        <w:rPr>
          <w:lang w:val="en-US"/>
        </w:rPr>
        <w:t xml:space="preserve"> with information about</w:t>
      </w:r>
      <w:r w:rsidR="0056237B">
        <w:rPr>
          <w:lang w:val="en-US"/>
        </w:rPr>
        <w:t>:</w:t>
      </w:r>
      <w:r w:rsidR="0068269D" w:rsidRPr="00D16B79">
        <w:rPr>
          <w:lang w:val="en-US"/>
        </w:rPr>
        <w:t xml:space="preserve"> an organization close</w:t>
      </w:r>
      <w:r w:rsidR="00F51B7C" w:rsidRPr="00D16B79">
        <w:rPr>
          <w:lang w:val="en-US"/>
        </w:rPr>
        <w:t>r</w:t>
      </w:r>
      <w:r w:rsidR="0068269D" w:rsidRPr="00D16B79">
        <w:rPr>
          <w:lang w:val="en-US"/>
        </w:rPr>
        <w:t xml:space="preserve"> to its goal</w:t>
      </w:r>
      <w:r w:rsidR="007F6B2E" w:rsidRPr="00D16B79">
        <w:rPr>
          <w:lang w:val="en-US"/>
        </w:rPr>
        <w:t xml:space="preserve"> in separate evaluation</w:t>
      </w:r>
      <w:r w:rsidR="0068269D" w:rsidRPr="00D16B79">
        <w:rPr>
          <w:lang w:val="en-US"/>
        </w:rPr>
        <w:t xml:space="preserve"> (</w:t>
      </w:r>
      <w:r w:rsidR="00DC5422" w:rsidRPr="00D16B79">
        <w:rPr>
          <w:lang w:val="en-US"/>
        </w:rPr>
        <w:t>SE</w:t>
      </w:r>
      <w:r w:rsidR="008515EB" w:rsidRPr="00D16B79">
        <w:rPr>
          <w:lang w:val="en-US"/>
        </w:rPr>
        <w:t xml:space="preserve"> </w:t>
      </w:r>
      <w:r w:rsidR="0068269D" w:rsidRPr="00D16B79">
        <w:rPr>
          <w:lang w:val="en-US"/>
        </w:rPr>
        <w:t>close), an organization far</w:t>
      </w:r>
      <w:r w:rsidR="00F51B7C" w:rsidRPr="00D16B79">
        <w:rPr>
          <w:lang w:val="en-US"/>
        </w:rPr>
        <w:t>ther</w:t>
      </w:r>
      <w:r w:rsidR="0068269D" w:rsidRPr="00D16B79">
        <w:rPr>
          <w:lang w:val="en-US"/>
        </w:rPr>
        <w:t xml:space="preserve"> from its goal </w:t>
      </w:r>
      <w:r w:rsidR="007F6B2E" w:rsidRPr="00D16B79">
        <w:rPr>
          <w:lang w:val="en-US"/>
        </w:rPr>
        <w:t xml:space="preserve">in separate evaluation </w:t>
      </w:r>
      <w:r w:rsidR="0068269D" w:rsidRPr="00D16B79">
        <w:rPr>
          <w:lang w:val="en-US"/>
        </w:rPr>
        <w:t>(</w:t>
      </w:r>
      <w:r w:rsidR="00DC5422" w:rsidRPr="00D16B79">
        <w:rPr>
          <w:lang w:val="en-US"/>
        </w:rPr>
        <w:t>SE</w:t>
      </w:r>
      <w:r w:rsidR="0068269D" w:rsidRPr="00D16B79">
        <w:rPr>
          <w:lang w:val="en-US"/>
        </w:rPr>
        <w:t xml:space="preserve"> far)</w:t>
      </w:r>
      <w:r w:rsidR="00506E73" w:rsidRPr="00D16B79">
        <w:rPr>
          <w:lang w:val="en-US"/>
        </w:rPr>
        <w:t>,</w:t>
      </w:r>
      <w:r w:rsidR="0068269D" w:rsidRPr="00D16B79">
        <w:rPr>
          <w:lang w:val="en-US"/>
        </w:rPr>
        <w:t xml:space="preserve"> or both </w:t>
      </w:r>
      <w:r w:rsidR="005B5E66" w:rsidRPr="00D16B79">
        <w:rPr>
          <w:lang w:val="en-US"/>
        </w:rPr>
        <w:t xml:space="preserve">simultaneously </w:t>
      </w:r>
      <w:r w:rsidR="007F6B2E" w:rsidRPr="00D16B79">
        <w:rPr>
          <w:lang w:val="en-US"/>
        </w:rPr>
        <w:t xml:space="preserve">in joint evaluation </w:t>
      </w:r>
      <w:r w:rsidR="0068269D" w:rsidRPr="00D16B79">
        <w:rPr>
          <w:lang w:val="en-US"/>
        </w:rPr>
        <w:t>(</w:t>
      </w:r>
      <w:r w:rsidR="00DC5422" w:rsidRPr="00D16B79">
        <w:rPr>
          <w:lang w:val="en-US"/>
        </w:rPr>
        <w:t>JE</w:t>
      </w:r>
      <w:r w:rsidR="0068269D" w:rsidRPr="00D16B79">
        <w:rPr>
          <w:lang w:val="en-US"/>
        </w:rPr>
        <w:t xml:space="preserve">). </w:t>
      </w:r>
      <w:r w:rsidR="00954FA9" w:rsidRPr="00D16B79">
        <w:rPr>
          <w:lang w:val="en-US"/>
        </w:rPr>
        <w:t>The organization close</w:t>
      </w:r>
      <w:r w:rsidR="00BE3362" w:rsidRPr="00D16B79">
        <w:rPr>
          <w:lang w:val="en-US"/>
        </w:rPr>
        <w:t>r</w:t>
      </w:r>
      <w:r w:rsidR="00954FA9" w:rsidRPr="00D16B79">
        <w:rPr>
          <w:lang w:val="en-US"/>
        </w:rPr>
        <w:t xml:space="preserve"> to the goal had raised £2930 out of £3000 and was labelled as having “£70 to go</w:t>
      </w:r>
      <w:r w:rsidR="0056237B">
        <w:rPr>
          <w:lang w:val="en-US"/>
        </w:rPr>
        <w:t>,</w:t>
      </w:r>
      <w:r w:rsidR="00954FA9" w:rsidRPr="00D16B79">
        <w:rPr>
          <w:lang w:val="en-US"/>
        </w:rPr>
        <w:t xml:space="preserve">” while the organization </w:t>
      </w:r>
      <w:r w:rsidR="003C404E" w:rsidRPr="00D16B79">
        <w:rPr>
          <w:lang w:val="en-US"/>
        </w:rPr>
        <w:t>farther</w:t>
      </w:r>
      <w:r w:rsidR="00954FA9" w:rsidRPr="00D16B79">
        <w:rPr>
          <w:lang w:val="en-US"/>
        </w:rPr>
        <w:t xml:space="preserve"> from the goal had raised £300 out of £3000 and was labelled as having “£2700 to go</w:t>
      </w:r>
      <w:r w:rsidR="00BD0D84" w:rsidRPr="00D16B79">
        <w:rPr>
          <w:lang w:val="en-US"/>
        </w:rPr>
        <w:t>.</w:t>
      </w:r>
      <w:r w:rsidR="00954FA9" w:rsidRPr="00D16B79">
        <w:rPr>
          <w:lang w:val="en-US"/>
        </w:rPr>
        <w:t xml:space="preserve">” </w:t>
      </w:r>
      <w:bookmarkEnd w:id="8"/>
      <w:r w:rsidR="00AE13F5" w:rsidRPr="00D16B79">
        <w:rPr>
          <w:lang w:val="en-US"/>
        </w:rPr>
        <w:t>As such, the stimuli employed a combination of both “to</w:t>
      </w:r>
      <w:r w:rsidR="00CF2308" w:rsidRPr="00D16B79">
        <w:rPr>
          <w:lang w:val="en-US"/>
        </w:rPr>
        <w:t>-</w:t>
      </w:r>
      <w:r w:rsidR="00AE13F5" w:rsidRPr="00D16B79">
        <w:rPr>
          <w:lang w:val="en-US"/>
        </w:rPr>
        <w:t>date” framing and “to</w:t>
      </w:r>
      <w:r w:rsidR="00CF2308" w:rsidRPr="00D16B79">
        <w:rPr>
          <w:lang w:val="en-US"/>
        </w:rPr>
        <w:t>-</w:t>
      </w:r>
      <w:r w:rsidR="00AE13F5" w:rsidRPr="00D16B79">
        <w:rPr>
          <w:lang w:val="en-US"/>
        </w:rPr>
        <w:t xml:space="preserve">go” framing. </w:t>
      </w:r>
      <w:r w:rsidR="00FD449D" w:rsidRPr="00D16B79">
        <w:rPr>
          <w:lang w:val="en-US"/>
        </w:rPr>
        <w:t xml:space="preserve">In this and </w:t>
      </w:r>
      <w:r w:rsidR="00D8495C">
        <w:rPr>
          <w:lang w:val="en-US"/>
        </w:rPr>
        <w:t>subsequent</w:t>
      </w:r>
      <w:r w:rsidR="00D8495C" w:rsidRPr="00D16B79">
        <w:rPr>
          <w:lang w:val="en-US"/>
        </w:rPr>
        <w:t xml:space="preserve"> </w:t>
      </w:r>
      <w:r w:rsidR="00FD449D" w:rsidRPr="00D16B79">
        <w:rPr>
          <w:lang w:val="en-US"/>
        </w:rPr>
        <w:t>studies, t</w:t>
      </w:r>
      <w:r w:rsidR="0047303D" w:rsidRPr="00D16B79">
        <w:rPr>
          <w:lang w:val="en-US"/>
        </w:rPr>
        <w:t xml:space="preserve">he charities </w:t>
      </w:r>
      <w:r w:rsidR="00FD449D" w:rsidRPr="00D16B79">
        <w:rPr>
          <w:lang w:val="en-US"/>
        </w:rPr>
        <w:t xml:space="preserve">were counterbalanced both in terms of which organization was closer to versus farther from its goal and which organization was presented on the left versus the right in joint evaluation. </w:t>
      </w:r>
    </w:p>
    <w:p w14:paraId="22BFC74B" w14:textId="03E4A406" w:rsidR="00C710E9" w:rsidRPr="00D16B79" w:rsidRDefault="00D8495C" w:rsidP="001F2D46">
      <w:pPr>
        <w:spacing w:line="480" w:lineRule="auto"/>
        <w:ind w:firstLine="720"/>
        <w:rPr>
          <w:rFonts w:ascii="Times New Roman" w:eastAsia="Calibri" w:hAnsi="Times New Roman"/>
          <w:lang w:val="en-US" w:eastAsia="en-US"/>
        </w:rPr>
      </w:pPr>
      <w:r>
        <w:rPr>
          <w:lang w:val="en-US"/>
        </w:rPr>
        <w:t>As our dependent measure, p</w:t>
      </w:r>
      <w:r w:rsidR="00954FA9" w:rsidRPr="00D16B79">
        <w:rPr>
          <w:lang w:val="en-US"/>
        </w:rPr>
        <w:t xml:space="preserve">articipants were </w:t>
      </w:r>
      <w:r>
        <w:rPr>
          <w:lang w:val="en-US"/>
        </w:rPr>
        <w:t xml:space="preserve">then </w:t>
      </w:r>
      <w:r w:rsidR="00954FA9" w:rsidRPr="00D16B79">
        <w:rPr>
          <w:lang w:val="en-US"/>
        </w:rPr>
        <w:t xml:space="preserve">given the opportunity to </w:t>
      </w:r>
      <w:r>
        <w:rPr>
          <w:lang w:val="en-US"/>
        </w:rPr>
        <w:t>make a donation allocation</w:t>
      </w:r>
      <w:r w:rsidR="00954FA9" w:rsidRPr="00D16B79">
        <w:rPr>
          <w:lang w:val="en-US"/>
        </w:rPr>
        <w:t>. They were informed that</w:t>
      </w:r>
      <w:r w:rsidR="007E050F" w:rsidRPr="00D16B79">
        <w:rPr>
          <w:lang w:val="en-US"/>
        </w:rPr>
        <w:t xml:space="preserve"> one participant would be selected in</w:t>
      </w:r>
      <w:r w:rsidR="00954FA9" w:rsidRPr="00D16B79">
        <w:rPr>
          <w:lang w:val="en-US"/>
        </w:rPr>
        <w:t xml:space="preserve"> a random draw </w:t>
      </w:r>
      <w:r w:rsidR="007E050F" w:rsidRPr="00D16B79">
        <w:rPr>
          <w:lang w:val="en-US"/>
        </w:rPr>
        <w:t>and a</w:t>
      </w:r>
      <w:r w:rsidR="00954FA9" w:rsidRPr="00D16B79">
        <w:rPr>
          <w:lang w:val="en-US"/>
        </w:rPr>
        <w:t xml:space="preserve"> £100 prize would be distributed </w:t>
      </w:r>
      <w:r w:rsidR="000B608F" w:rsidRPr="00D16B79">
        <w:rPr>
          <w:lang w:val="en-US"/>
        </w:rPr>
        <w:t xml:space="preserve">according to their choice </w:t>
      </w:r>
      <w:r w:rsidR="00954FA9" w:rsidRPr="00D16B79">
        <w:rPr>
          <w:lang w:val="en-US"/>
        </w:rPr>
        <w:t>between the two charities</w:t>
      </w:r>
      <w:r w:rsidR="00A949B9" w:rsidRPr="00D16B79">
        <w:rPr>
          <w:lang w:val="en-US"/>
        </w:rPr>
        <w:t xml:space="preserve"> </w:t>
      </w:r>
      <w:r w:rsidR="00954FA9" w:rsidRPr="00D16B79">
        <w:rPr>
          <w:lang w:val="en-US"/>
        </w:rPr>
        <w:t xml:space="preserve">in the </w:t>
      </w:r>
      <w:r w:rsidR="009D2885" w:rsidRPr="00D16B79">
        <w:rPr>
          <w:lang w:val="en-US"/>
        </w:rPr>
        <w:t xml:space="preserve">joint evaluation </w:t>
      </w:r>
      <w:r w:rsidR="00954FA9" w:rsidRPr="00D16B79">
        <w:rPr>
          <w:lang w:val="en-US"/>
        </w:rPr>
        <w:t xml:space="preserve">condition, or the charity they saw and </w:t>
      </w:r>
      <w:r w:rsidR="00CF2308" w:rsidRPr="00D16B79">
        <w:rPr>
          <w:lang w:val="en-US"/>
        </w:rPr>
        <w:t xml:space="preserve">any </w:t>
      </w:r>
      <w:r w:rsidR="00954FA9" w:rsidRPr="00D16B79">
        <w:rPr>
          <w:lang w:val="en-US"/>
        </w:rPr>
        <w:t>charity of their choice in</w:t>
      </w:r>
      <w:r w:rsidR="00A524CF" w:rsidRPr="00D16B79">
        <w:rPr>
          <w:lang w:val="en-US"/>
        </w:rPr>
        <w:t xml:space="preserve"> the</w:t>
      </w:r>
      <w:r w:rsidR="00954FA9" w:rsidRPr="00D16B79">
        <w:rPr>
          <w:lang w:val="en-US"/>
        </w:rPr>
        <w:t xml:space="preserve"> </w:t>
      </w:r>
      <w:r w:rsidR="009D2885" w:rsidRPr="00D16B79">
        <w:rPr>
          <w:lang w:val="en-US"/>
        </w:rPr>
        <w:t xml:space="preserve">separate evaluation </w:t>
      </w:r>
      <w:r w:rsidR="00954FA9" w:rsidRPr="00D16B79">
        <w:rPr>
          <w:lang w:val="en-US"/>
        </w:rPr>
        <w:t>condition</w:t>
      </w:r>
      <w:r w:rsidR="00A524CF" w:rsidRPr="00D16B79">
        <w:rPr>
          <w:lang w:val="en-US"/>
        </w:rPr>
        <w:t>s</w:t>
      </w:r>
      <w:r w:rsidR="00954FA9" w:rsidRPr="00D16B79">
        <w:rPr>
          <w:lang w:val="en-US"/>
        </w:rPr>
        <w:t xml:space="preserve">. </w:t>
      </w:r>
      <w:r w:rsidR="0031341E">
        <w:rPr>
          <w:rFonts w:ascii="Times New Roman" w:eastAsia="Calibri" w:hAnsi="Times New Roman"/>
          <w:lang w:val="en-US" w:eastAsia="en-US"/>
        </w:rPr>
        <w:t>This meant that</w:t>
      </w:r>
      <w:r w:rsidR="00CF2308" w:rsidRPr="00D16B79">
        <w:rPr>
          <w:rFonts w:ascii="Times New Roman" w:eastAsia="Calibri" w:hAnsi="Times New Roman"/>
          <w:lang w:val="en-US" w:eastAsia="en-US"/>
        </w:rPr>
        <w:t xml:space="preserve"> in separate evaluation they could choose to give any amount to their personal, preferred charity and were asked to identify a charity of their choice later in the survey</w:t>
      </w:r>
      <w:r>
        <w:rPr>
          <w:rFonts w:ascii="Times New Roman" w:eastAsia="Calibri" w:hAnsi="Times New Roman"/>
          <w:lang w:val="en-US" w:eastAsia="en-US"/>
        </w:rPr>
        <w:t xml:space="preserve">. </w:t>
      </w:r>
      <w:r w:rsidR="00954FA9" w:rsidRPr="00D16B79">
        <w:rPr>
          <w:lang w:val="en-US"/>
        </w:rPr>
        <w:t xml:space="preserve">After the study ended, the money was distributed as per the choices of </w:t>
      </w:r>
      <w:r w:rsidR="00954FA9" w:rsidRPr="00D16B79">
        <w:rPr>
          <w:lang w:val="en-US"/>
        </w:rPr>
        <w:lastRenderedPageBreak/>
        <w:t xml:space="preserve">one </w:t>
      </w:r>
      <w:r w:rsidR="004C0A74" w:rsidRPr="00D16B79">
        <w:rPr>
          <w:lang w:val="en-US"/>
        </w:rPr>
        <w:t xml:space="preserve">randomly selected </w:t>
      </w:r>
      <w:r w:rsidR="00954FA9" w:rsidRPr="00D16B79">
        <w:rPr>
          <w:lang w:val="en-US"/>
        </w:rPr>
        <w:t>participant.</w:t>
      </w:r>
      <w:r w:rsidR="005B5E66" w:rsidRPr="00D16B79">
        <w:rPr>
          <w:lang w:val="en-US"/>
        </w:rPr>
        <w:t xml:space="preserve"> </w:t>
      </w:r>
      <w:r w:rsidR="00DC5422" w:rsidRPr="00D16B79">
        <w:rPr>
          <w:lang w:val="en-US"/>
        </w:rPr>
        <w:t>P</w:t>
      </w:r>
      <w:r w:rsidR="00954FA9" w:rsidRPr="00D16B79">
        <w:rPr>
          <w:lang w:val="en-US"/>
        </w:rPr>
        <w:t xml:space="preserve">articipants </w:t>
      </w:r>
      <w:r w:rsidR="00DC5422" w:rsidRPr="00D16B79">
        <w:rPr>
          <w:lang w:val="en-US"/>
        </w:rPr>
        <w:t xml:space="preserve">then </w:t>
      </w:r>
      <w:r w:rsidR="00954FA9" w:rsidRPr="00D16B79">
        <w:rPr>
          <w:lang w:val="en-US"/>
        </w:rPr>
        <w:t xml:space="preserve">rated their perceptions </w:t>
      </w:r>
      <w:r w:rsidR="008F17F5" w:rsidRPr="00D16B79">
        <w:rPr>
          <w:rFonts w:ascii="Times New Roman" w:eastAsia="Batang" w:hAnsi="Times New Roman"/>
          <w:lang w:val="en-US"/>
        </w:rPr>
        <w:t xml:space="preserve">with separate items for each organization including </w:t>
      </w:r>
      <w:r w:rsidR="00954FA9" w:rsidRPr="00D16B79">
        <w:rPr>
          <w:lang w:val="en-US"/>
        </w:rPr>
        <w:t>the organization’s</w:t>
      </w:r>
      <w:r w:rsidR="009D2885" w:rsidRPr="00D16B79">
        <w:rPr>
          <w:lang w:val="en-US"/>
        </w:rPr>
        <w:t xml:space="preserve"> </w:t>
      </w:r>
      <w:r w:rsidR="00D85686" w:rsidRPr="00D16B79">
        <w:rPr>
          <w:rFonts w:ascii="Times New Roman" w:eastAsia="Batang" w:hAnsi="Times New Roman"/>
          <w:lang w:val="en-US"/>
        </w:rPr>
        <w:t>need (“</w:t>
      </w:r>
      <w:r w:rsidR="008F17F5" w:rsidRPr="00D16B79">
        <w:rPr>
          <w:rFonts w:ascii="Times New Roman" w:eastAsia="Batang" w:hAnsi="Times New Roman"/>
          <w:lang w:val="en-US"/>
        </w:rPr>
        <w:t>X is</w:t>
      </w:r>
      <w:r w:rsidR="00D85686" w:rsidRPr="00D16B79">
        <w:rPr>
          <w:rFonts w:ascii="Times New Roman" w:eastAsia="Batang" w:hAnsi="Times New Roman"/>
          <w:lang w:val="en-US"/>
        </w:rPr>
        <w:t xml:space="preserve"> in need”), impact (“</w:t>
      </w:r>
      <w:r w:rsidR="008F17F5" w:rsidRPr="00D16B79">
        <w:rPr>
          <w:rFonts w:ascii="Times New Roman" w:eastAsia="Batang" w:hAnsi="Times New Roman"/>
          <w:lang w:val="en-US"/>
        </w:rPr>
        <w:t>Donating to X</w:t>
      </w:r>
      <w:r w:rsidR="00D85686" w:rsidRPr="00D16B79">
        <w:rPr>
          <w:rFonts w:ascii="Times New Roman" w:eastAsia="Batang" w:hAnsi="Times New Roman"/>
          <w:lang w:val="en-US"/>
        </w:rPr>
        <w:t xml:space="preserve"> would make a bigger impact”), </w:t>
      </w:r>
      <w:r w:rsidR="00C13C5B" w:rsidRPr="00D16B79">
        <w:rPr>
          <w:rFonts w:ascii="Times New Roman" w:eastAsia="Batang" w:hAnsi="Times New Roman"/>
          <w:lang w:val="en-US"/>
        </w:rPr>
        <w:t xml:space="preserve">and warmth (“X is warm/ kind/ friendly/ sincere”) </w:t>
      </w:r>
      <w:r w:rsidR="005A36D3" w:rsidRPr="00D16B79">
        <w:rPr>
          <w:rFonts w:ascii="Times New Roman" w:eastAsia="Batang" w:hAnsi="Times New Roman"/>
          <w:lang w:val="en-US"/>
        </w:rPr>
        <w:t xml:space="preserve">as well as additional variables outlined in Web Appendix </w:t>
      </w:r>
      <w:r w:rsidR="000B1982">
        <w:rPr>
          <w:rFonts w:ascii="Times New Roman" w:eastAsia="Batang" w:hAnsi="Times New Roman"/>
          <w:lang w:val="en-US"/>
        </w:rPr>
        <w:t xml:space="preserve">B </w:t>
      </w:r>
      <w:r w:rsidR="0031341E">
        <w:rPr>
          <w:rFonts w:ascii="Times New Roman" w:eastAsia="Calibri" w:hAnsi="Times New Roman"/>
          <w:lang w:val="en-US"/>
        </w:rPr>
        <w:t>on</w:t>
      </w:r>
      <w:r w:rsidR="00D85686" w:rsidRPr="00D16B79">
        <w:rPr>
          <w:rFonts w:ascii="Times New Roman" w:eastAsia="Calibri" w:hAnsi="Times New Roman"/>
          <w:lang w:val="en-US"/>
        </w:rPr>
        <w:t xml:space="preserve"> 7-point scales ranging from 1</w:t>
      </w:r>
      <w:r w:rsidR="0031341E">
        <w:rPr>
          <w:rFonts w:ascii="Times New Roman" w:eastAsia="Calibri" w:hAnsi="Times New Roman"/>
          <w:lang w:val="en-US"/>
        </w:rPr>
        <w:t xml:space="preserve"> </w:t>
      </w:r>
      <w:r w:rsidR="00BD0D84" w:rsidRPr="00D16B79">
        <w:rPr>
          <w:rFonts w:ascii="Times New Roman" w:eastAsia="Calibri" w:hAnsi="Times New Roman"/>
          <w:lang w:val="en-US"/>
        </w:rPr>
        <w:t>=</w:t>
      </w:r>
      <w:r w:rsidR="00D85686" w:rsidRPr="00D16B79">
        <w:rPr>
          <w:rFonts w:ascii="Times New Roman" w:eastAsia="Calibri" w:hAnsi="Times New Roman"/>
          <w:lang w:val="en-US"/>
        </w:rPr>
        <w:t xml:space="preserve"> </w:t>
      </w:r>
      <w:r w:rsidR="00D4226D" w:rsidRPr="00D16B79">
        <w:rPr>
          <w:rFonts w:ascii="Times New Roman" w:eastAsia="Calibri" w:hAnsi="Times New Roman"/>
          <w:lang w:val="en-US"/>
        </w:rPr>
        <w:t>“</w:t>
      </w:r>
      <w:r w:rsidR="008F17F5" w:rsidRPr="00D16B79">
        <w:rPr>
          <w:rFonts w:ascii="Times New Roman" w:eastAsia="Calibri" w:hAnsi="Times New Roman"/>
          <w:lang w:val="en-US"/>
        </w:rPr>
        <w:t>Strongly Disagree</w:t>
      </w:r>
      <w:r w:rsidR="00D4226D" w:rsidRPr="00D16B79">
        <w:rPr>
          <w:rFonts w:ascii="Times New Roman" w:eastAsia="Calibri" w:hAnsi="Times New Roman"/>
          <w:lang w:val="en-US"/>
        </w:rPr>
        <w:t>”</w:t>
      </w:r>
      <w:r w:rsidR="00D85686" w:rsidRPr="00D16B79">
        <w:rPr>
          <w:rFonts w:ascii="Times New Roman" w:eastAsia="Calibri" w:hAnsi="Times New Roman"/>
          <w:lang w:val="en-US"/>
        </w:rPr>
        <w:t xml:space="preserve"> to 7 </w:t>
      </w:r>
      <w:r w:rsidR="00BD0D84" w:rsidRPr="00D16B79">
        <w:rPr>
          <w:rFonts w:ascii="Times New Roman" w:eastAsia="Calibri" w:hAnsi="Times New Roman"/>
          <w:lang w:val="en-US"/>
        </w:rPr>
        <w:t>=</w:t>
      </w:r>
      <w:r w:rsidR="00D85686" w:rsidRPr="00D16B79">
        <w:rPr>
          <w:rFonts w:ascii="Times New Roman" w:eastAsia="Calibri" w:hAnsi="Times New Roman"/>
          <w:lang w:val="en-US"/>
        </w:rPr>
        <w:t xml:space="preserve"> </w:t>
      </w:r>
      <w:r w:rsidR="00D4226D" w:rsidRPr="00D16B79">
        <w:rPr>
          <w:rFonts w:ascii="Times New Roman" w:eastAsia="Calibri" w:hAnsi="Times New Roman"/>
          <w:lang w:val="en-US"/>
        </w:rPr>
        <w:t>“</w:t>
      </w:r>
      <w:r w:rsidR="008F17F5" w:rsidRPr="00D16B79">
        <w:rPr>
          <w:rFonts w:ascii="Times New Roman" w:eastAsia="Calibri" w:hAnsi="Times New Roman"/>
          <w:lang w:val="en-US"/>
        </w:rPr>
        <w:t>Strongly Agree</w:t>
      </w:r>
      <w:r w:rsidR="0056237B">
        <w:rPr>
          <w:rFonts w:ascii="Times New Roman" w:eastAsia="Calibri" w:hAnsi="Times New Roman"/>
          <w:lang w:val="en-US"/>
        </w:rPr>
        <w:t>.</w:t>
      </w:r>
      <w:r w:rsidR="00D4226D" w:rsidRPr="00D16B79">
        <w:rPr>
          <w:rFonts w:ascii="Times New Roman" w:eastAsia="Calibri" w:hAnsi="Times New Roman"/>
          <w:lang w:val="en-US"/>
        </w:rPr>
        <w:t>”</w:t>
      </w:r>
      <w:r w:rsidR="00D85686" w:rsidRPr="00D16B79">
        <w:rPr>
          <w:rFonts w:ascii="Times New Roman" w:eastAsia="Calibri" w:hAnsi="Times New Roman"/>
          <w:lang w:val="en-US"/>
        </w:rPr>
        <w:t xml:space="preserve"> </w:t>
      </w:r>
      <w:r w:rsidR="00AE13F5" w:rsidRPr="00D16B79">
        <w:rPr>
          <w:lang w:val="en-US"/>
        </w:rPr>
        <w:t xml:space="preserve">Participants </w:t>
      </w:r>
      <w:r w:rsidR="00D85686" w:rsidRPr="00D16B79">
        <w:rPr>
          <w:lang w:val="en-US"/>
        </w:rPr>
        <w:t xml:space="preserve">then </w:t>
      </w:r>
      <w:r w:rsidR="00DC5422" w:rsidRPr="00D16B79">
        <w:rPr>
          <w:lang w:val="en-US"/>
        </w:rPr>
        <w:t xml:space="preserve">answered an </w:t>
      </w:r>
      <w:r w:rsidR="009D2885" w:rsidRPr="00D16B79">
        <w:rPr>
          <w:rFonts w:ascii="Times New Roman" w:hAnsi="Times New Roman"/>
          <w:lang w:val="en-US"/>
        </w:rPr>
        <w:t>attention check</w:t>
      </w:r>
      <w:r w:rsidR="00824CD0" w:rsidRPr="00D16B79">
        <w:rPr>
          <w:rFonts w:ascii="Times New Roman" w:hAnsi="Times New Roman"/>
          <w:lang w:val="en-US"/>
        </w:rPr>
        <w:t xml:space="preserve">, </w:t>
      </w:r>
      <w:r w:rsidR="00BD0D84" w:rsidRPr="00D16B79">
        <w:rPr>
          <w:rFonts w:ascii="Times New Roman" w:hAnsi="Times New Roman"/>
          <w:lang w:val="en-US"/>
        </w:rPr>
        <w:t xml:space="preserve">an </w:t>
      </w:r>
      <w:r w:rsidR="006635B3" w:rsidRPr="00D16B79">
        <w:rPr>
          <w:rFonts w:ascii="Times New Roman" w:hAnsi="Times New Roman"/>
          <w:lang w:val="en-US"/>
        </w:rPr>
        <w:t>open</w:t>
      </w:r>
      <w:r w:rsidR="00BD0D84" w:rsidRPr="00D16B79">
        <w:rPr>
          <w:rFonts w:ascii="Times New Roman" w:hAnsi="Times New Roman"/>
          <w:lang w:val="en-US"/>
        </w:rPr>
        <w:t>-</w:t>
      </w:r>
      <w:r w:rsidR="006635B3" w:rsidRPr="00D16B79">
        <w:rPr>
          <w:rFonts w:ascii="Times New Roman" w:hAnsi="Times New Roman"/>
          <w:lang w:val="en-US"/>
        </w:rPr>
        <w:t xml:space="preserve">ended </w:t>
      </w:r>
      <w:r w:rsidR="00824CD0" w:rsidRPr="00D16B79">
        <w:rPr>
          <w:rFonts w:ascii="Times New Roman" w:hAnsi="Times New Roman"/>
          <w:lang w:val="en-US"/>
        </w:rPr>
        <w:t>question</w:t>
      </w:r>
      <w:r w:rsidR="006635B3" w:rsidRPr="00D16B79">
        <w:rPr>
          <w:rFonts w:ascii="Times New Roman" w:hAnsi="Times New Roman"/>
          <w:lang w:val="en-US"/>
        </w:rPr>
        <w:t xml:space="preserve"> </w:t>
      </w:r>
      <w:r>
        <w:rPr>
          <w:rFonts w:ascii="Times New Roman" w:hAnsi="Times New Roman"/>
          <w:lang w:val="en-US"/>
        </w:rPr>
        <w:t xml:space="preserve">about </w:t>
      </w:r>
      <w:r w:rsidR="006635B3" w:rsidRPr="00D16B79">
        <w:rPr>
          <w:rFonts w:ascii="Times New Roman" w:hAnsi="Times New Roman"/>
          <w:lang w:val="en-US"/>
        </w:rPr>
        <w:t xml:space="preserve">how they made their donation </w:t>
      </w:r>
      <w:r>
        <w:rPr>
          <w:rFonts w:ascii="Times New Roman" w:hAnsi="Times New Roman"/>
          <w:lang w:val="en-US"/>
        </w:rPr>
        <w:t xml:space="preserve">allocation </w:t>
      </w:r>
      <w:r w:rsidR="006635B3" w:rsidRPr="00D16B79">
        <w:rPr>
          <w:rFonts w:ascii="Times New Roman" w:hAnsi="Times New Roman"/>
          <w:lang w:val="en-US"/>
        </w:rPr>
        <w:t>decision</w:t>
      </w:r>
      <w:r w:rsidR="00BD0D84" w:rsidRPr="00D16B79">
        <w:rPr>
          <w:rFonts w:ascii="Times New Roman" w:hAnsi="Times New Roman"/>
          <w:lang w:val="en-US"/>
        </w:rPr>
        <w:t>,</w:t>
      </w:r>
      <w:r w:rsidR="005B5E66" w:rsidRPr="00D16B79">
        <w:rPr>
          <w:lang w:val="en-US"/>
        </w:rPr>
        <w:t xml:space="preserve"> </w:t>
      </w:r>
      <w:r w:rsidR="00506E73" w:rsidRPr="00D16B79">
        <w:rPr>
          <w:lang w:val="en-US"/>
        </w:rPr>
        <w:t xml:space="preserve">and </w:t>
      </w:r>
      <w:r w:rsidR="005B5E66" w:rsidRPr="00D16B79">
        <w:rPr>
          <w:lang w:val="en-US"/>
        </w:rPr>
        <w:t>demographic</w:t>
      </w:r>
      <w:r w:rsidR="00A21F2E" w:rsidRPr="00D16B79">
        <w:rPr>
          <w:lang w:val="en-US"/>
        </w:rPr>
        <w:t xml:space="preserve"> </w:t>
      </w:r>
      <w:r>
        <w:rPr>
          <w:lang w:val="en-US"/>
        </w:rPr>
        <w:t>questions</w:t>
      </w:r>
      <w:r w:rsidR="005B5E66" w:rsidRPr="00D16B79">
        <w:rPr>
          <w:lang w:val="en-US"/>
        </w:rPr>
        <w:t xml:space="preserve">. </w:t>
      </w:r>
    </w:p>
    <w:p w14:paraId="63957C66" w14:textId="415D14EA" w:rsidR="00954FA9" w:rsidRPr="00D16B79" w:rsidRDefault="00BE3A28" w:rsidP="002C355F">
      <w:pPr>
        <w:pStyle w:val="Heading2"/>
      </w:pPr>
      <w:r w:rsidRPr="00D16B79">
        <w:t>Results</w:t>
      </w:r>
    </w:p>
    <w:p w14:paraId="12A0537A" w14:textId="2660C965" w:rsidR="00DC5422" w:rsidRPr="00D16B79" w:rsidRDefault="00E80E55" w:rsidP="00C710E9">
      <w:pPr>
        <w:spacing w:line="480" w:lineRule="auto"/>
        <w:ind w:firstLine="720"/>
        <w:rPr>
          <w:rFonts w:ascii="Times New Roman" w:hAnsi="Times New Roman"/>
          <w:lang w:val="en-US"/>
        </w:rPr>
      </w:pPr>
      <w:r w:rsidRPr="00D16B79">
        <w:rPr>
          <w:rFonts w:ascii="Times New Roman" w:hAnsi="Times New Roman"/>
          <w:i/>
          <w:lang w:val="en-US"/>
        </w:rPr>
        <w:t xml:space="preserve">Data </w:t>
      </w:r>
      <w:r w:rsidR="00BD0D84" w:rsidRPr="00D16B79">
        <w:rPr>
          <w:rFonts w:ascii="Times New Roman" w:hAnsi="Times New Roman"/>
          <w:i/>
          <w:lang w:val="en-US"/>
        </w:rPr>
        <w:t>p</w:t>
      </w:r>
      <w:r w:rsidRPr="00D16B79">
        <w:rPr>
          <w:rFonts w:ascii="Times New Roman" w:hAnsi="Times New Roman"/>
          <w:i/>
          <w:lang w:val="en-US"/>
        </w:rPr>
        <w:t>reparation.</w:t>
      </w:r>
      <w:r w:rsidRPr="00D16B79">
        <w:rPr>
          <w:rFonts w:ascii="Times New Roman" w:hAnsi="Times New Roman"/>
          <w:lang w:val="en-US"/>
        </w:rPr>
        <w:t xml:space="preserve"> </w:t>
      </w:r>
      <w:r w:rsidR="00DC5422" w:rsidRPr="00D16B79">
        <w:rPr>
          <w:rFonts w:ascii="Times New Roman" w:hAnsi="Times New Roman"/>
          <w:lang w:val="en-US"/>
        </w:rPr>
        <w:t>After excluding 13 participants</w:t>
      </w:r>
      <w:r w:rsidR="000A3210" w:rsidRPr="00D16B79">
        <w:rPr>
          <w:rFonts w:ascii="Times New Roman" w:hAnsi="Times New Roman"/>
          <w:lang w:val="en-US"/>
        </w:rPr>
        <w:t xml:space="preserve"> </w:t>
      </w:r>
      <w:r w:rsidR="00DC5422" w:rsidRPr="00D16B79">
        <w:rPr>
          <w:rFonts w:ascii="Times New Roman" w:hAnsi="Times New Roman"/>
          <w:lang w:val="en-US"/>
        </w:rPr>
        <w:t xml:space="preserve">who failed the attention check </w:t>
      </w:r>
      <w:r w:rsidR="00FD0663" w:rsidRPr="00D16B79">
        <w:rPr>
          <w:rFonts w:asciiTheme="majorHAnsi" w:hAnsiTheme="majorHAnsi" w:cstheme="majorHAnsi"/>
          <w:lang w:val="en-US"/>
        </w:rPr>
        <w:t>(as pre-registered)</w:t>
      </w:r>
      <w:r w:rsidR="00FD0663" w:rsidRPr="00D16B79">
        <w:rPr>
          <w:rFonts w:ascii="Times New Roman" w:hAnsi="Times New Roman"/>
          <w:lang w:val="en-US"/>
        </w:rPr>
        <w:t xml:space="preserve">, </w:t>
      </w:r>
      <w:r w:rsidR="00DC5422" w:rsidRPr="00D16B79">
        <w:rPr>
          <w:rFonts w:ascii="Times New Roman" w:hAnsi="Times New Roman"/>
          <w:lang w:val="en-US"/>
        </w:rPr>
        <w:t>287 participants</w:t>
      </w:r>
      <w:r w:rsidR="00FD0663" w:rsidRPr="00D16B79">
        <w:rPr>
          <w:rFonts w:ascii="Times New Roman" w:hAnsi="Times New Roman"/>
          <w:lang w:val="en-US"/>
        </w:rPr>
        <w:t xml:space="preserve"> </w:t>
      </w:r>
      <w:r w:rsidR="00D8495C">
        <w:rPr>
          <w:rFonts w:ascii="Times New Roman" w:hAnsi="Times New Roman"/>
          <w:lang w:val="en-US"/>
        </w:rPr>
        <w:t>were included in</w:t>
      </w:r>
      <w:r w:rsidR="00DC5422" w:rsidRPr="00D16B79">
        <w:rPr>
          <w:rFonts w:ascii="Times New Roman" w:hAnsi="Times New Roman"/>
          <w:lang w:val="en-US"/>
        </w:rPr>
        <w:t xml:space="preserve"> the final analyses (66.6% </w:t>
      </w:r>
      <w:r w:rsidR="00ED7B3A" w:rsidRPr="00D16B79">
        <w:rPr>
          <w:rFonts w:ascii="Times New Roman" w:hAnsi="Times New Roman"/>
          <w:lang w:val="en-US"/>
        </w:rPr>
        <w:t>w</w:t>
      </w:r>
      <w:r w:rsidR="007E7906" w:rsidRPr="00D16B79">
        <w:rPr>
          <w:rFonts w:ascii="Times New Roman" w:hAnsi="Times New Roman"/>
          <w:lang w:val="en-US"/>
        </w:rPr>
        <w:t>omen</w:t>
      </w:r>
      <w:r w:rsidR="00DC5422" w:rsidRPr="00D16B79">
        <w:rPr>
          <w:rFonts w:ascii="Times New Roman" w:hAnsi="Times New Roman"/>
          <w:lang w:val="en-US"/>
        </w:rPr>
        <w:t>, M</w:t>
      </w:r>
      <w:r w:rsidR="00DC5422" w:rsidRPr="00D16B79">
        <w:rPr>
          <w:rFonts w:ascii="Times New Roman" w:hAnsi="Times New Roman"/>
          <w:vertAlign w:val="subscript"/>
          <w:lang w:val="en-US"/>
        </w:rPr>
        <w:t>age</w:t>
      </w:r>
      <w:r w:rsidR="00DC5422" w:rsidRPr="00D16B79">
        <w:rPr>
          <w:rFonts w:ascii="Times New Roman" w:hAnsi="Times New Roman"/>
          <w:lang w:val="en-US"/>
        </w:rPr>
        <w:t xml:space="preserve"> = 36.34). </w:t>
      </w:r>
      <w:r w:rsidR="00F5609F" w:rsidRPr="00D16B79">
        <w:rPr>
          <w:rFonts w:ascii="Times New Roman" w:hAnsi="Times New Roman"/>
          <w:lang w:val="en-US"/>
        </w:rPr>
        <w:t xml:space="preserve">No participants were excluded based on their open-ended answers in any of </w:t>
      </w:r>
      <w:r w:rsidR="00800A68">
        <w:rPr>
          <w:rFonts w:ascii="Times New Roman" w:hAnsi="Times New Roman"/>
          <w:lang w:val="en-US"/>
        </w:rPr>
        <w:t>our</w:t>
      </w:r>
      <w:r w:rsidR="00F5609F" w:rsidRPr="00D16B79">
        <w:rPr>
          <w:rFonts w:ascii="Times New Roman" w:hAnsi="Times New Roman"/>
          <w:lang w:val="en-US"/>
        </w:rPr>
        <w:t xml:space="preserve"> studies.</w:t>
      </w:r>
    </w:p>
    <w:p w14:paraId="23FFD3CF" w14:textId="4F2DE60E" w:rsidR="001F1F58" w:rsidRDefault="005B5E66" w:rsidP="00824CD0">
      <w:pPr>
        <w:spacing w:line="480" w:lineRule="auto"/>
        <w:ind w:firstLine="720"/>
        <w:rPr>
          <w:rFonts w:ascii="Times New Roman" w:eastAsia="Calibri" w:hAnsi="Times New Roman"/>
          <w:lang w:val="en-US" w:eastAsia="en-US"/>
        </w:rPr>
      </w:pPr>
      <w:r w:rsidRPr="00D16B79">
        <w:rPr>
          <w:rFonts w:ascii="Times New Roman" w:eastAsia="Calibri" w:hAnsi="Times New Roman"/>
          <w:i/>
          <w:iCs/>
          <w:lang w:val="en-US" w:eastAsia="en-US"/>
        </w:rPr>
        <w:t>Donation amount.</w:t>
      </w:r>
      <w:r w:rsidRPr="00D16B79">
        <w:rPr>
          <w:rFonts w:ascii="Times New Roman" w:eastAsia="Calibri" w:hAnsi="Times New Roman"/>
          <w:lang w:val="en-US" w:eastAsia="en-US"/>
        </w:rPr>
        <w:t xml:space="preserve"> </w:t>
      </w:r>
      <w:r w:rsidR="0055483B" w:rsidRPr="00D16B79">
        <w:rPr>
          <w:rFonts w:ascii="Times New Roman" w:eastAsia="Calibri" w:hAnsi="Times New Roman"/>
          <w:lang w:val="en-US" w:eastAsia="en-US"/>
        </w:rPr>
        <w:t>Table 1</w:t>
      </w:r>
      <w:r w:rsidR="00424DA5">
        <w:rPr>
          <w:rFonts w:ascii="Times New Roman" w:eastAsia="Calibri" w:hAnsi="Times New Roman"/>
          <w:lang w:val="en-US" w:eastAsia="en-US"/>
        </w:rPr>
        <w:t xml:space="preserve"> shows average donation amounts (</w:t>
      </w:r>
      <w:r w:rsidR="0055483B" w:rsidRPr="00D16B79">
        <w:rPr>
          <w:rFonts w:ascii="Times New Roman" w:eastAsia="Calibri" w:hAnsi="Times New Roman"/>
          <w:lang w:val="en-US" w:eastAsia="en-US"/>
        </w:rPr>
        <w:t xml:space="preserve">full distribution of donations </w:t>
      </w:r>
      <w:r w:rsidR="00361946">
        <w:rPr>
          <w:rFonts w:ascii="Times New Roman" w:eastAsia="Calibri" w:hAnsi="Times New Roman"/>
          <w:lang w:val="en-US" w:eastAsia="en-US"/>
        </w:rPr>
        <w:t xml:space="preserve">for all studies </w:t>
      </w:r>
      <w:r w:rsidR="00B84B7B">
        <w:rPr>
          <w:rFonts w:ascii="Times New Roman" w:eastAsia="Calibri" w:hAnsi="Times New Roman"/>
          <w:lang w:val="en-US" w:eastAsia="en-US"/>
        </w:rPr>
        <w:t>is presented</w:t>
      </w:r>
      <w:r w:rsidR="0055483B" w:rsidRPr="00D16B79">
        <w:rPr>
          <w:rFonts w:ascii="Times New Roman" w:eastAsia="Calibri" w:hAnsi="Times New Roman"/>
          <w:lang w:val="en-US" w:eastAsia="en-US"/>
        </w:rPr>
        <w:t xml:space="preserve"> in the Web Appendix</w:t>
      </w:r>
      <w:r w:rsidR="00424DA5">
        <w:rPr>
          <w:rFonts w:ascii="Times New Roman" w:eastAsia="Calibri" w:hAnsi="Times New Roman"/>
          <w:lang w:val="en-US" w:eastAsia="en-US"/>
        </w:rPr>
        <w:t>)</w:t>
      </w:r>
      <w:r w:rsidR="0055483B" w:rsidRPr="00D16B79">
        <w:rPr>
          <w:rFonts w:ascii="Times New Roman" w:eastAsia="Calibri" w:hAnsi="Times New Roman"/>
          <w:lang w:val="en-US" w:eastAsia="en-US"/>
        </w:rPr>
        <w:t xml:space="preserve">. </w:t>
      </w:r>
      <w:r w:rsidR="00C21AB1" w:rsidRPr="00D16B79">
        <w:rPr>
          <w:rFonts w:ascii="Times New Roman" w:eastAsia="Calibri" w:hAnsi="Times New Roman"/>
          <w:lang w:val="en-US" w:eastAsia="en-US"/>
        </w:rPr>
        <w:t>Previous work on joint v</w:t>
      </w:r>
      <w:r w:rsidR="00ED7B3A" w:rsidRPr="00D16B79">
        <w:rPr>
          <w:rFonts w:ascii="Times New Roman" w:eastAsia="Calibri" w:hAnsi="Times New Roman"/>
          <w:lang w:val="en-US" w:eastAsia="en-US"/>
        </w:rPr>
        <w:t>ersus</w:t>
      </w:r>
      <w:r w:rsidR="00C21AB1" w:rsidRPr="00D16B79">
        <w:rPr>
          <w:rFonts w:ascii="Times New Roman" w:eastAsia="Calibri" w:hAnsi="Times New Roman"/>
          <w:lang w:val="en-US" w:eastAsia="en-US"/>
        </w:rPr>
        <w:t xml:space="preserve"> separate evaluation uses a </w:t>
      </w:r>
      <w:r w:rsidR="004640F6" w:rsidRPr="00D16B79">
        <w:rPr>
          <w:rFonts w:ascii="Times New Roman" w:eastAsia="Calibri" w:hAnsi="Times New Roman"/>
          <w:lang w:val="en-US" w:eastAsia="en-US"/>
        </w:rPr>
        <w:t>hybrid t-test</w:t>
      </w:r>
      <w:r w:rsidR="00BB2A7A" w:rsidRPr="00D16B79">
        <w:rPr>
          <w:rFonts w:ascii="Times New Roman" w:eastAsia="Calibri" w:hAnsi="Times New Roman"/>
          <w:lang w:val="en-US" w:eastAsia="en-US"/>
        </w:rPr>
        <w:t xml:space="preserve"> </w:t>
      </w:r>
      <w:r w:rsidR="00C21AB1" w:rsidRPr="00D16B79">
        <w:rPr>
          <w:rFonts w:ascii="Times New Roman" w:eastAsia="Calibri" w:hAnsi="Times New Roman"/>
          <w:lang w:val="en-US" w:eastAsia="en-US"/>
        </w:rPr>
        <w:t xml:space="preserve">to compare </w:t>
      </w:r>
      <w:r w:rsidR="00B84B7B">
        <w:rPr>
          <w:rFonts w:ascii="Times New Roman" w:eastAsia="Calibri" w:hAnsi="Times New Roman"/>
          <w:lang w:val="en-US" w:eastAsia="en-US"/>
        </w:rPr>
        <w:t xml:space="preserve">a </w:t>
      </w:r>
      <w:r w:rsidR="00C21AB1" w:rsidRPr="00D16B79">
        <w:rPr>
          <w:rFonts w:ascii="Times New Roman" w:eastAsia="Calibri" w:hAnsi="Times New Roman"/>
          <w:lang w:val="en-US" w:eastAsia="en-US"/>
        </w:rPr>
        <w:t xml:space="preserve">joint evaluation condition with two separate evaluation conditions </w:t>
      </w:r>
      <w:r w:rsidR="00BB2A7A" w:rsidRPr="00D16B79">
        <w:rPr>
          <w:rFonts w:ascii="Times New Roman" w:eastAsia="Calibri" w:hAnsi="Times New Roman"/>
          <w:lang w:val="en-US" w:eastAsia="en-US"/>
        </w:rPr>
        <w:fldChar w:fldCharType="begin"/>
      </w:r>
      <w:r w:rsidR="00181321">
        <w:rPr>
          <w:rFonts w:ascii="Times New Roman" w:eastAsia="Calibri" w:hAnsi="Times New Roman"/>
          <w:lang w:val="en-US" w:eastAsia="en-US"/>
        </w:rPr>
        <w:instrText xml:space="preserve"> ADDIN ZOTERO_ITEM CSL_CITATION {"citationID":"clOcKKUK","properties":{"formattedCitation":"(Hsee 1996)","plainCitation":"(Hsee 1996)","noteIndex":0},"citationItems":[{"id":2092,"uris":["http://zotero.org/users/4606674/items/JM2BGTWU"],"itemData":{"id":2092,"type":"article-journal","container-title":"Organizational Behavior and Human Decision Processes","DOI":"10.1006/obhd.1996.0077","ISSN":"07495978","issue":"3","journalAbbreviation":"Organizational Behavior and Human Decision Processes","language":"en","page":"247-257","source":"DOI.org (Crossref)","title":"The Evaluability Hypothesis: An Explanation for Preference Reversals between Joint and Separate Evaluations of Alternatives","title-short":"The Evaluability Hypothesis","volume":"67","author":[{"family":"Hsee","given":"Christopher K."}],"issued":{"date-parts":[["1996",9]]}}}],"schema":"https://github.com/citation-style-language/schema/raw/master/csl-citation.json"} </w:instrText>
      </w:r>
      <w:r w:rsidR="00BB2A7A" w:rsidRPr="00D16B79">
        <w:rPr>
          <w:rFonts w:ascii="Times New Roman" w:eastAsia="Calibri" w:hAnsi="Times New Roman"/>
          <w:lang w:val="en-US" w:eastAsia="en-US"/>
        </w:rPr>
        <w:fldChar w:fldCharType="separate"/>
      </w:r>
      <w:r w:rsidR="00FA5441" w:rsidRPr="00D16B79">
        <w:rPr>
          <w:rFonts w:ascii="Times New Roman" w:hAnsi="Times New Roman"/>
          <w:lang w:val="en-US"/>
        </w:rPr>
        <w:t>(Hsee 1996)</w:t>
      </w:r>
      <w:r w:rsidR="00BB2A7A" w:rsidRPr="00D16B79">
        <w:rPr>
          <w:rFonts w:ascii="Times New Roman" w:eastAsia="Calibri" w:hAnsi="Times New Roman"/>
          <w:lang w:val="en-US" w:eastAsia="en-US"/>
        </w:rPr>
        <w:fldChar w:fldCharType="end"/>
      </w:r>
      <w:r w:rsidR="00A5546C" w:rsidRPr="00D16B79">
        <w:rPr>
          <w:rFonts w:ascii="Times New Roman" w:eastAsia="Calibri" w:hAnsi="Times New Roman"/>
          <w:lang w:val="en-US" w:eastAsia="en-US"/>
        </w:rPr>
        <w:t>.</w:t>
      </w:r>
      <w:r w:rsidR="00C21AB1" w:rsidRPr="00D16B79">
        <w:rPr>
          <w:rStyle w:val="FootnoteReference"/>
          <w:lang w:val="en-US"/>
        </w:rPr>
        <w:footnoteReference w:id="1"/>
      </w:r>
      <w:r w:rsidR="004640F6" w:rsidRPr="00D16B79">
        <w:rPr>
          <w:rFonts w:ascii="Times New Roman" w:eastAsia="Calibri" w:hAnsi="Times New Roman"/>
          <w:lang w:val="en-US" w:eastAsia="en-US"/>
        </w:rPr>
        <w:t xml:space="preserve"> </w:t>
      </w:r>
      <w:r w:rsidR="00C21AB1" w:rsidRPr="00D16B79">
        <w:rPr>
          <w:rFonts w:ascii="Times New Roman" w:eastAsia="Calibri" w:hAnsi="Times New Roman"/>
          <w:lang w:val="en-US" w:eastAsia="en-US"/>
        </w:rPr>
        <w:t>This</w:t>
      </w:r>
      <w:r w:rsidR="00961A9C" w:rsidRPr="00D16B79">
        <w:rPr>
          <w:rFonts w:ascii="Times New Roman" w:eastAsia="Calibri" w:hAnsi="Times New Roman"/>
          <w:lang w:val="en-US" w:eastAsia="en-US"/>
        </w:rPr>
        <w:t xml:space="preserve"> test</w:t>
      </w:r>
      <w:r w:rsidR="004640F6" w:rsidRPr="00D16B79">
        <w:rPr>
          <w:rFonts w:ascii="Times New Roman" w:eastAsia="Calibri" w:hAnsi="Times New Roman"/>
          <w:lang w:val="en-US" w:eastAsia="en-US"/>
        </w:rPr>
        <w:t xml:space="preserve"> reveal</w:t>
      </w:r>
      <w:r w:rsidR="00A15B7E" w:rsidRPr="00D16B79">
        <w:rPr>
          <w:rFonts w:ascii="Times New Roman" w:eastAsia="Calibri" w:hAnsi="Times New Roman"/>
          <w:lang w:val="en-US" w:eastAsia="en-US"/>
        </w:rPr>
        <w:t>ed</w:t>
      </w:r>
      <w:r w:rsidR="004640F6" w:rsidRPr="00D16B79">
        <w:rPr>
          <w:rFonts w:ascii="Times New Roman" w:eastAsia="Calibri" w:hAnsi="Times New Roman"/>
          <w:lang w:val="en-US" w:eastAsia="en-US"/>
        </w:rPr>
        <w:t xml:space="preserve"> </w:t>
      </w:r>
      <w:r w:rsidR="00786E5E">
        <w:rPr>
          <w:rFonts w:ascii="Times New Roman" w:eastAsia="Calibri" w:hAnsi="Times New Roman"/>
          <w:lang w:val="en-US" w:eastAsia="en-US"/>
        </w:rPr>
        <w:t xml:space="preserve">a preference shift </w:t>
      </w:r>
      <w:proofErr w:type="spellStart"/>
      <w:r w:rsidR="00786E5E">
        <w:rPr>
          <w:rFonts w:ascii="Times New Roman" w:eastAsia="Calibri" w:hAnsi="Times New Roman"/>
          <w:lang w:val="en-US" w:eastAsia="en-US"/>
        </w:rPr>
        <w:t>betweeen</w:t>
      </w:r>
      <w:proofErr w:type="spellEnd"/>
      <w:r w:rsidR="004640F6" w:rsidRPr="00D16B79">
        <w:rPr>
          <w:rFonts w:ascii="Times New Roman" w:eastAsia="Calibri" w:hAnsi="Times New Roman"/>
          <w:lang w:val="en-US" w:eastAsia="en-US"/>
        </w:rPr>
        <w:t xml:space="preserve"> </w:t>
      </w:r>
      <w:r w:rsidR="00575AFA">
        <w:rPr>
          <w:rFonts w:ascii="Times New Roman" w:eastAsia="Calibri" w:hAnsi="Times New Roman"/>
          <w:lang w:val="en-US" w:eastAsia="en-US"/>
        </w:rPr>
        <w:t>joint evaluation (JE)</w:t>
      </w:r>
      <w:r w:rsidR="004640F6" w:rsidRPr="00D16B79">
        <w:rPr>
          <w:rFonts w:ascii="Times New Roman" w:eastAsia="Calibri" w:hAnsi="Times New Roman"/>
          <w:lang w:val="en-US" w:eastAsia="en-US"/>
        </w:rPr>
        <w:t xml:space="preserve"> </w:t>
      </w:r>
      <w:r w:rsidR="00786E5E">
        <w:rPr>
          <w:rFonts w:ascii="Times New Roman" w:eastAsia="Calibri" w:hAnsi="Times New Roman"/>
          <w:lang w:val="en-US" w:eastAsia="en-US"/>
        </w:rPr>
        <w:t>and</w:t>
      </w:r>
      <w:r w:rsidR="004640F6" w:rsidRPr="00D16B79">
        <w:rPr>
          <w:rFonts w:ascii="Times New Roman" w:eastAsia="Calibri" w:hAnsi="Times New Roman"/>
          <w:lang w:val="en-US" w:eastAsia="en-US"/>
        </w:rPr>
        <w:t xml:space="preserve"> </w:t>
      </w:r>
      <w:r w:rsidR="00575AFA">
        <w:rPr>
          <w:rFonts w:ascii="Times New Roman" w:eastAsia="Calibri" w:hAnsi="Times New Roman"/>
          <w:lang w:val="en-US" w:eastAsia="en-US"/>
        </w:rPr>
        <w:t>separate evaluation (</w:t>
      </w:r>
      <w:r w:rsidR="004640F6" w:rsidRPr="00D16B79">
        <w:rPr>
          <w:rFonts w:ascii="Times New Roman" w:eastAsia="Calibri" w:hAnsi="Times New Roman"/>
          <w:lang w:val="en-US" w:eastAsia="en-US"/>
        </w:rPr>
        <w:t>SE</w:t>
      </w:r>
      <w:r w:rsidR="00575AFA">
        <w:rPr>
          <w:rFonts w:ascii="Times New Roman" w:eastAsia="Calibri" w:hAnsi="Times New Roman"/>
          <w:lang w:val="en-US" w:eastAsia="en-US"/>
        </w:rPr>
        <w:t>)</w:t>
      </w:r>
      <w:r w:rsidR="004640F6" w:rsidRPr="00D16B79">
        <w:rPr>
          <w:rFonts w:ascii="Times New Roman" w:eastAsia="Calibri" w:hAnsi="Times New Roman"/>
          <w:lang w:val="en-US" w:eastAsia="en-US"/>
        </w:rPr>
        <w:t xml:space="preserve"> </w:t>
      </w:r>
      <w:r w:rsidR="0063307A">
        <w:rPr>
          <w:rFonts w:ascii="Times New Roman" w:eastAsia="Calibri" w:hAnsi="Times New Roman"/>
          <w:lang w:val="en-US" w:eastAsia="en-US"/>
        </w:rPr>
        <w:t>based on the distance of the</w:t>
      </w:r>
      <w:r w:rsidR="004640F6" w:rsidRPr="00D16B79">
        <w:rPr>
          <w:rFonts w:ascii="Times New Roman" w:eastAsia="Calibri" w:hAnsi="Times New Roman"/>
          <w:lang w:val="en-US" w:eastAsia="en-US"/>
        </w:rPr>
        <w:t xml:space="preserve"> organization </w:t>
      </w:r>
      <w:r w:rsidR="0063307A">
        <w:rPr>
          <w:rFonts w:ascii="Times New Roman" w:eastAsia="Calibri" w:hAnsi="Times New Roman"/>
          <w:lang w:val="en-US" w:eastAsia="en-US"/>
        </w:rPr>
        <w:t xml:space="preserve">from </w:t>
      </w:r>
      <w:r w:rsidR="004640F6" w:rsidRPr="00D16B79">
        <w:rPr>
          <w:rFonts w:ascii="Times New Roman" w:eastAsia="Calibri" w:hAnsi="Times New Roman"/>
          <w:lang w:val="en-US" w:eastAsia="en-US"/>
        </w:rPr>
        <w:t>its goal, t(2</w:t>
      </w:r>
      <w:r w:rsidR="007B7102" w:rsidRPr="00D16B79">
        <w:rPr>
          <w:rFonts w:ascii="Times New Roman" w:eastAsia="Calibri" w:hAnsi="Times New Roman"/>
          <w:lang w:val="en-US" w:eastAsia="en-US"/>
        </w:rPr>
        <w:t>84</w:t>
      </w:r>
      <w:r w:rsidR="004640F6" w:rsidRPr="00D16B79">
        <w:rPr>
          <w:rFonts w:ascii="Times New Roman" w:eastAsia="Calibri" w:hAnsi="Times New Roman"/>
          <w:lang w:val="en-US" w:eastAsia="en-US"/>
        </w:rPr>
        <w:t>) = 5.</w:t>
      </w:r>
      <w:r w:rsidR="007B7102" w:rsidRPr="00D16B79">
        <w:rPr>
          <w:rFonts w:ascii="Times New Roman" w:eastAsia="Calibri" w:hAnsi="Times New Roman"/>
          <w:lang w:val="en-US" w:eastAsia="en-US"/>
        </w:rPr>
        <w:t>11</w:t>
      </w:r>
      <w:r w:rsidR="004640F6" w:rsidRPr="00D16B79">
        <w:rPr>
          <w:rFonts w:ascii="Times New Roman" w:eastAsia="Calibri" w:hAnsi="Times New Roman"/>
          <w:lang w:val="en-US" w:eastAsia="en-US"/>
        </w:rPr>
        <w:t xml:space="preserve">, </w:t>
      </w:r>
      <w:r w:rsidR="004640F6" w:rsidRPr="00D16B79">
        <w:rPr>
          <w:rFonts w:ascii="Times New Roman" w:eastAsia="Calibri" w:hAnsi="Times New Roman"/>
          <w:i/>
          <w:iCs/>
          <w:lang w:val="en-US" w:eastAsia="en-US"/>
        </w:rPr>
        <w:t xml:space="preserve">p </w:t>
      </w:r>
      <w:r w:rsidR="004640F6" w:rsidRPr="00D16B79">
        <w:rPr>
          <w:rFonts w:ascii="Times New Roman" w:eastAsia="Calibri" w:hAnsi="Times New Roman"/>
          <w:lang w:val="en-US" w:eastAsia="en-US"/>
        </w:rPr>
        <w:t xml:space="preserve">&lt; .001. </w:t>
      </w:r>
      <w:r w:rsidR="00E80E55" w:rsidRPr="00D16B79">
        <w:rPr>
          <w:rFonts w:ascii="Times New Roman" w:eastAsia="Calibri" w:hAnsi="Times New Roman"/>
          <w:lang w:val="en-US" w:eastAsia="en-US"/>
        </w:rPr>
        <w:t xml:space="preserve">As anticipated, in JE, a paired-sample t-test showed that respondents donated significantly more to the charity that was farther from </w:t>
      </w:r>
      <w:r w:rsidR="00B84B7B">
        <w:rPr>
          <w:rFonts w:ascii="Times New Roman" w:eastAsia="Calibri" w:hAnsi="Times New Roman"/>
          <w:lang w:val="en-US" w:eastAsia="en-US"/>
        </w:rPr>
        <w:t xml:space="preserve">its </w:t>
      </w:r>
      <w:r w:rsidR="00E80E55" w:rsidRPr="00D16B79">
        <w:rPr>
          <w:rFonts w:ascii="Times New Roman" w:eastAsia="Calibri" w:hAnsi="Times New Roman"/>
          <w:lang w:val="en-US" w:eastAsia="en-US"/>
        </w:rPr>
        <w:t>goal (</w:t>
      </w:r>
      <w:proofErr w:type="spellStart"/>
      <w:r w:rsidR="00E80E55" w:rsidRPr="00D16B79">
        <w:rPr>
          <w:rFonts w:ascii="Times New Roman" w:eastAsia="Calibri" w:hAnsi="Times New Roman"/>
          <w:lang w:val="en-US" w:eastAsia="en-US"/>
        </w:rPr>
        <w:t>M</w:t>
      </w:r>
      <w:r w:rsidR="00E80E55" w:rsidRPr="00D16B79">
        <w:rPr>
          <w:rFonts w:ascii="Times New Roman" w:eastAsia="Calibri" w:hAnsi="Times New Roman"/>
          <w:vertAlign w:val="subscript"/>
          <w:lang w:val="en-US" w:eastAsia="en-US"/>
        </w:rPr>
        <w:t>far</w:t>
      </w:r>
      <w:proofErr w:type="spellEnd"/>
      <w:r w:rsidR="00E80E55" w:rsidRPr="00D16B79">
        <w:rPr>
          <w:rFonts w:ascii="Times New Roman" w:eastAsia="Calibri" w:hAnsi="Times New Roman"/>
          <w:lang w:val="en-US" w:eastAsia="en-US"/>
        </w:rPr>
        <w:t xml:space="preserve"> = 65.32 vs. </w:t>
      </w:r>
      <w:proofErr w:type="spellStart"/>
      <w:r w:rsidR="00E80E55" w:rsidRPr="00D16B79">
        <w:rPr>
          <w:rFonts w:ascii="Times New Roman" w:eastAsia="Calibri" w:hAnsi="Times New Roman"/>
          <w:lang w:val="en-US" w:eastAsia="en-US"/>
        </w:rPr>
        <w:t>M</w:t>
      </w:r>
      <w:r w:rsidR="00E80E55" w:rsidRPr="00D16B79">
        <w:rPr>
          <w:rFonts w:ascii="Times New Roman" w:eastAsia="Calibri" w:hAnsi="Times New Roman"/>
          <w:vertAlign w:val="subscript"/>
          <w:lang w:val="en-US" w:eastAsia="en-US"/>
        </w:rPr>
        <w:t>close</w:t>
      </w:r>
      <w:proofErr w:type="spellEnd"/>
      <w:r w:rsidR="00E80E55" w:rsidRPr="00D16B79">
        <w:rPr>
          <w:rFonts w:ascii="Times New Roman" w:eastAsia="Calibri" w:hAnsi="Times New Roman"/>
          <w:lang w:val="en-US" w:eastAsia="en-US"/>
        </w:rPr>
        <w:t xml:space="preserve"> = 34.68), t(92) = 5.24, </w:t>
      </w:r>
      <w:r w:rsidR="00E80E55" w:rsidRPr="00D16B79">
        <w:rPr>
          <w:rFonts w:ascii="Times New Roman" w:eastAsia="Calibri" w:hAnsi="Times New Roman"/>
          <w:i/>
          <w:iCs/>
          <w:lang w:val="en-US" w:eastAsia="en-US"/>
        </w:rPr>
        <w:t>p</w:t>
      </w:r>
      <w:r w:rsidR="00E80E55" w:rsidRPr="00D16B79">
        <w:rPr>
          <w:rFonts w:ascii="Times New Roman" w:eastAsia="Calibri" w:hAnsi="Times New Roman"/>
          <w:lang w:val="en-US" w:eastAsia="en-US"/>
        </w:rPr>
        <w:t xml:space="preserve"> &lt; .001, d = .54.</w:t>
      </w:r>
      <w:r w:rsidR="0095403F" w:rsidRPr="00D16B79">
        <w:rPr>
          <w:rFonts w:ascii="Times New Roman" w:eastAsia="Calibri" w:hAnsi="Times New Roman"/>
          <w:lang w:val="en-US" w:eastAsia="en-US"/>
        </w:rPr>
        <w:t xml:space="preserve"> </w:t>
      </w:r>
      <w:r w:rsidR="004640F6" w:rsidRPr="00D16B79">
        <w:rPr>
          <w:rFonts w:ascii="Times New Roman" w:eastAsia="Calibri" w:hAnsi="Times New Roman"/>
          <w:lang w:val="en-US" w:eastAsia="en-US"/>
        </w:rPr>
        <w:t xml:space="preserve">In SE, respondents did not donate more to the organization that was </w:t>
      </w:r>
      <w:r w:rsidR="003C404E" w:rsidRPr="00D16B79">
        <w:rPr>
          <w:rFonts w:ascii="Times New Roman" w:eastAsia="Calibri" w:hAnsi="Times New Roman"/>
          <w:lang w:val="en-US" w:eastAsia="en-US"/>
        </w:rPr>
        <w:t>farther</w:t>
      </w:r>
      <w:r w:rsidR="004640F6" w:rsidRPr="00D16B79">
        <w:rPr>
          <w:rFonts w:ascii="Times New Roman" w:eastAsia="Calibri" w:hAnsi="Times New Roman"/>
          <w:lang w:val="en-US" w:eastAsia="en-US"/>
        </w:rPr>
        <w:t xml:space="preserve"> from its goal (</w:t>
      </w:r>
      <w:proofErr w:type="spellStart"/>
      <w:r w:rsidR="004640F6" w:rsidRPr="00D16B79">
        <w:rPr>
          <w:rFonts w:ascii="Times New Roman" w:eastAsia="Calibri" w:hAnsi="Times New Roman"/>
          <w:lang w:val="en-US" w:eastAsia="en-US"/>
        </w:rPr>
        <w:t>M</w:t>
      </w:r>
      <w:r w:rsidR="004640F6" w:rsidRPr="00D16B79">
        <w:rPr>
          <w:rFonts w:ascii="Times New Roman" w:eastAsia="Calibri" w:hAnsi="Times New Roman"/>
          <w:vertAlign w:val="subscript"/>
          <w:lang w:val="en-US" w:eastAsia="en-US"/>
        </w:rPr>
        <w:t>close</w:t>
      </w:r>
      <w:proofErr w:type="spellEnd"/>
      <w:r w:rsidR="004640F6" w:rsidRPr="00D16B79">
        <w:rPr>
          <w:rFonts w:ascii="Times New Roman" w:eastAsia="Calibri" w:hAnsi="Times New Roman"/>
          <w:lang w:val="en-US" w:eastAsia="en-US"/>
        </w:rPr>
        <w:t xml:space="preserve"> = 51.</w:t>
      </w:r>
      <w:r w:rsidR="007B7102" w:rsidRPr="00D16B79">
        <w:rPr>
          <w:rFonts w:ascii="Times New Roman" w:eastAsia="Calibri" w:hAnsi="Times New Roman"/>
          <w:lang w:val="en-US" w:eastAsia="en-US"/>
        </w:rPr>
        <w:t>18</w:t>
      </w:r>
      <w:r w:rsidR="004640F6" w:rsidRPr="00D16B79">
        <w:rPr>
          <w:rFonts w:ascii="Times New Roman" w:eastAsia="Calibri" w:hAnsi="Times New Roman"/>
          <w:lang w:val="en-US" w:eastAsia="en-US"/>
        </w:rPr>
        <w:t xml:space="preserve"> vs</w:t>
      </w:r>
      <w:r w:rsidR="0046041A" w:rsidRPr="00D16B79">
        <w:rPr>
          <w:rFonts w:ascii="Times New Roman" w:eastAsia="Calibri" w:hAnsi="Times New Roman"/>
          <w:lang w:val="en-US" w:eastAsia="en-US"/>
        </w:rPr>
        <w:t>.</w:t>
      </w:r>
      <w:r w:rsidR="004640F6" w:rsidRPr="00D16B79">
        <w:rPr>
          <w:rFonts w:ascii="Times New Roman" w:eastAsia="Calibri" w:hAnsi="Times New Roman"/>
          <w:lang w:val="en-US" w:eastAsia="en-US"/>
        </w:rPr>
        <w:t xml:space="preserve"> </w:t>
      </w:r>
      <w:proofErr w:type="spellStart"/>
      <w:r w:rsidR="004640F6" w:rsidRPr="00D16B79">
        <w:rPr>
          <w:rFonts w:ascii="Times New Roman" w:eastAsia="Calibri" w:hAnsi="Times New Roman"/>
          <w:lang w:val="en-US" w:eastAsia="en-US"/>
        </w:rPr>
        <w:t>M</w:t>
      </w:r>
      <w:r w:rsidR="004640F6" w:rsidRPr="00D16B79">
        <w:rPr>
          <w:rFonts w:ascii="Times New Roman" w:eastAsia="Calibri" w:hAnsi="Times New Roman"/>
          <w:vertAlign w:val="subscript"/>
          <w:lang w:val="en-US" w:eastAsia="en-US"/>
        </w:rPr>
        <w:t>far</w:t>
      </w:r>
      <w:proofErr w:type="spellEnd"/>
      <w:r w:rsidR="004640F6" w:rsidRPr="00D16B79">
        <w:rPr>
          <w:rFonts w:ascii="Times New Roman" w:eastAsia="Calibri" w:hAnsi="Times New Roman"/>
          <w:lang w:val="en-US" w:eastAsia="en-US"/>
        </w:rPr>
        <w:t xml:space="preserve"> = 55.</w:t>
      </w:r>
      <w:r w:rsidR="007B7102" w:rsidRPr="00D16B79">
        <w:rPr>
          <w:rFonts w:ascii="Times New Roman" w:eastAsia="Calibri" w:hAnsi="Times New Roman"/>
          <w:lang w:val="en-US" w:eastAsia="en-US"/>
        </w:rPr>
        <w:t>89</w:t>
      </w:r>
      <w:r w:rsidR="004640F6" w:rsidRPr="00D16B79">
        <w:rPr>
          <w:rFonts w:ascii="Times New Roman" w:eastAsia="Calibri" w:hAnsi="Times New Roman"/>
          <w:lang w:val="en-US" w:eastAsia="en-US"/>
        </w:rPr>
        <w:t>), t(19</w:t>
      </w:r>
      <w:r w:rsidR="007B7102" w:rsidRPr="00D16B79">
        <w:rPr>
          <w:rFonts w:ascii="Times New Roman" w:eastAsia="Calibri" w:hAnsi="Times New Roman"/>
          <w:lang w:val="en-US" w:eastAsia="en-US"/>
        </w:rPr>
        <w:t>2</w:t>
      </w:r>
      <w:r w:rsidR="004640F6" w:rsidRPr="00D16B79">
        <w:rPr>
          <w:rFonts w:ascii="Times New Roman" w:eastAsia="Calibri" w:hAnsi="Times New Roman"/>
          <w:lang w:val="en-US" w:eastAsia="en-US"/>
        </w:rPr>
        <w:t>) = 1.</w:t>
      </w:r>
      <w:r w:rsidR="007B7102" w:rsidRPr="00D16B79">
        <w:rPr>
          <w:rFonts w:ascii="Times New Roman" w:eastAsia="Calibri" w:hAnsi="Times New Roman"/>
          <w:lang w:val="en-US" w:eastAsia="en-US"/>
        </w:rPr>
        <w:t>1</w:t>
      </w:r>
      <w:r w:rsidR="004640F6" w:rsidRPr="00D16B79">
        <w:rPr>
          <w:rFonts w:ascii="Times New Roman" w:eastAsia="Calibri" w:hAnsi="Times New Roman"/>
          <w:lang w:val="en-US" w:eastAsia="en-US"/>
        </w:rPr>
        <w:t xml:space="preserve">3, </w:t>
      </w:r>
      <w:r w:rsidR="004640F6" w:rsidRPr="00D16B79">
        <w:rPr>
          <w:rFonts w:ascii="Times New Roman" w:eastAsia="Calibri" w:hAnsi="Times New Roman"/>
          <w:i/>
          <w:iCs/>
          <w:lang w:val="en-US" w:eastAsia="en-US"/>
        </w:rPr>
        <w:t>p</w:t>
      </w:r>
      <w:r w:rsidR="004640F6" w:rsidRPr="00D16B79">
        <w:rPr>
          <w:rFonts w:ascii="Times New Roman" w:eastAsia="Calibri" w:hAnsi="Times New Roman"/>
          <w:lang w:val="en-US" w:eastAsia="en-US"/>
        </w:rPr>
        <w:t xml:space="preserve"> = .</w:t>
      </w:r>
      <w:r w:rsidR="007B7102" w:rsidRPr="00D16B79">
        <w:rPr>
          <w:rFonts w:ascii="Times New Roman" w:eastAsia="Calibri" w:hAnsi="Times New Roman"/>
          <w:lang w:val="en-US" w:eastAsia="en-US"/>
        </w:rPr>
        <w:t>26</w:t>
      </w:r>
      <w:r w:rsidR="00824CD0" w:rsidRPr="00D16B79">
        <w:rPr>
          <w:rFonts w:ascii="Times New Roman" w:eastAsia="Calibri" w:hAnsi="Times New Roman"/>
          <w:lang w:val="en-US" w:eastAsia="en-US"/>
        </w:rPr>
        <w:t xml:space="preserve"> (Figure 1)</w:t>
      </w:r>
      <w:r w:rsidR="004640F6" w:rsidRPr="00D16B79">
        <w:rPr>
          <w:rFonts w:ascii="Times New Roman" w:eastAsia="Calibri" w:hAnsi="Times New Roman"/>
          <w:lang w:val="en-US" w:eastAsia="en-US"/>
        </w:rPr>
        <w:t xml:space="preserve">. </w:t>
      </w:r>
    </w:p>
    <w:p w14:paraId="2EDF8187" w14:textId="664FAD84" w:rsidR="009004C1" w:rsidRDefault="009004C1" w:rsidP="00824CD0">
      <w:pPr>
        <w:spacing w:line="480" w:lineRule="auto"/>
        <w:ind w:firstLine="720"/>
        <w:rPr>
          <w:rFonts w:ascii="Times New Roman" w:eastAsia="Calibri" w:hAnsi="Times New Roman"/>
          <w:lang w:val="en-US" w:eastAsia="en-US"/>
        </w:rPr>
      </w:pPr>
    </w:p>
    <w:p w14:paraId="19C0A02F" w14:textId="77777777" w:rsidR="009004C1" w:rsidRPr="00D16B79" w:rsidRDefault="009004C1" w:rsidP="00824CD0">
      <w:pPr>
        <w:spacing w:line="480" w:lineRule="auto"/>
        <w:ind w:firstLine="720"/>
        <w:rPr>
          <w:rFonts w:ascii="Times New Roman" w:eastAsia="Calibri" w:hAnsi="Times New Roman"/>
          <w:lang w:val="en-US" w:eastAsia="en-US"/>
        </w:rPr>
      </w:pPr>
    </w:p>
    <w:p w14:paraId="52637C83" w14:textId="77777777" w:rsidR="004048CD" w:rsidRPr="00D16B79" w:rsidRDefault="004048CD" w:rsidP="004048CD">
      <w:pPr>
        <w:pStyle w:val="Caption"/>
        <w:keepNext/>
        <w:spacing w:line="240" w:lineRule="auto"/>
        <w:ind w:firstLine="0"/>
        <w:rPr>
          <w:b w:val="0"/>
        </w:rPr>
      </w:pPr>
      <w:r w:rsidRPr="00D16B79">
        <w:rPr>
          <w:b w:val="0"/>
        </w:rPr>
        <w:lastRenderedPageBreak/>
        <w:t>Figure 1: DONATIONS TO CHARITY BASED ON DISTANCE FROM GOAL IN JOINT VS. SEPARATE EVALUATION IN STUDY 1</w:t>
      </w:r>
    </w:p>
    <w:p w14:paraId="4DAC7C44" w14:textId="77777777" w:rsidR="004048CD" w:rsidRPr="00D16B79" w:rsidRDefault="004048CD" w:rsidP="004048CD">
      <w:pPr>
        <w:spacing w:after="200"/>
        <w:contextualSpacing/>
        <w:jc w:val="center"/>
        <w:rPr>
          <w:lang w:val="en-US"/>
        </w:rPr>
      </w:pPr>
    </w:p>
    <w:p w14:paraId="6D280BE6" w14:textId="77777777" w:rsidR="004048CD" w:rsidRPr="00D16B79" w:rsidRDefault="004048CD" w:rsidP="004048CD">
      <w:pPr>
        <w:spacing w:after="200"/>
        <w:contextualSpacing/>
        <w:jc w:val="center"/>
        <w:rPr>
          <w:lang w:val="en-US"/>
        </w:rPr>
      </w:pPr>
      <w:r w:rsidRPr="00D16B79">
        <w:rPr>
          <w:noProof/>
          <w:lang w:val="en-US"/>
        </w:rPr>
        <w:drawing>
          <wp:inline distT="0" distB="0" distL="0" distR="0" wp14:anchorId="0099228A" wp14:editId="0DCEC787">
            <wp:extent cx="4572000" cy="2651125"/>
            <wp:effectExtent l="0" t="0" r="0" b="15875"/>
            <wp:docPr id="8" name="Chart 8">
              <a:extLst xmlns:a="http://schemas.openxmlformats.org/drawingml/2006/main">
                <a:ext uri="{FF2B5EF4-FFF2-40B4-BE49-F238E27FC236}">
                  <a16:creationId xmlns:a16="http://schemas.microsoft.com/office/drawing/2014/main" id="{93F610D1-24D4-444C-B61F-9072A743D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5D7689" w14:textId="77777777" w:rsidR="004048CD" w:rsidRPr="00D16B79" w:rsidRDefault="004048CD" w:rsidP="004048CD">
      <w:pPr>
        <w:spacing w:after="240" w:line="276" w:lineRule="auto"/>
        <w:rPr>
          <w:i/>
          <w:sz w:val="18"/>
          <w:szCs w:val="18"/>
          <w:lang w:val="en-US"/>
        </w:rPr>
      </w:pPr>
      <w:bookmarkStart w:id="9" w:name="_Hlk110515460"/>
      <w:r w:rsidRPr="00D16B79">
        <w:rPr>
          <w:i/>
          <w:sz w:val="18"/>
          <w:szCs w:val="18"/>
          <w:lang w:val="en-US"/>
        </w:rPr>
        <w:t>Note: Error bars represent ±1 standard error.</w:t>
      </w:r>
    </w:p>
    <w:bookmarkEnd w:id="9"/>
    <w:p w14:paraId="2CE1318F" w14:textId="39120E28" w:rsidR="00C13C5B" w:rsidRPr="00D16B79" w:rsidRDefault="00954FA9" w:rsidP="009004C1">
      <w:pPr>
        <w:tabs>
          <w:tab w:val="left" w:pos="5103"/>
        </w:tabs>
        <w:spacing w:line="480" w:lineRule="auto"/>
        <w:ind w:firstLine="720"/>
        <w:rPr>
          <w:rFonts w:ascii="Times New Roman" w:eastAsia="Calibri" w:hAnsi="Times New Roman" w:cs="Calibri"/>
          <w:lang w:val="en-US" w:eastAsia="en-US"/>
        </w:rPr>
      </w:pPr>
      <w:r w:rsidRPr="00D16B79">
        <w:rPr>
          <w:rFonts w:ascii="Times New Roman" w:eastAsia="Calibri" w:hAnsi="Times New Roman"/>
          <w:i/>
          <w:iCs/>
          <w:lang w:val="en-US" w:eastAsia="en-US"/>
        </w:rPr>
        <w:t xml:space="preserve">Mediation. </w:t>
      </w:r>
      <w:r w:rsidR="00FA6A0F" w:rsidRPr="00D16B79">
        <w:rPr>
          <w:rFonts w:ascii="Times New Roman" w:eastAsia="Calibri" w:hAnsi="Times New Roman"/>
          <w:lang w:val="en-US" w:eastAsia="en-US"/>
        </w:rPr>
        <w:t xml:space="preserve">Given that </w:t>
      </w:r>
      <w:r w:rsidR="00811942" w:rsidRPr="00D16B79">
        <w:rPr>
          <w:rFonts w:ascii="Times New Roman" w:eastAsia="Calibri" w:hAnsi="Times New Roman"/>
          <w:lang w:val="en-US" w:eastAsia="en-US"/>
        </w:rPr>
        <w:t>each condition in separate evaluation had</w:t>
      </w:r>
      <w:r w:rsidR="001B744D" w:rsidRPr="00D16B79">
        <w:rPr>
          <w:rFonts w:ascii="Times New Roman" w:eastAsia="Calibri" w:hAnsi="Times New Roman"/>
          <w:lang w:val="en-US" w:eastAsia="en-US"/>
        </w:rPr>
        <w:t xml:space="preserve"> a corresponding joint evaluation condition</w:t>
      </w:r>
      <w:r w:rsidR="0046041A" w:rsidRPr="00D16B79">
        <w:rPr>
          <w:rFonts w:ascii="Times New Roman" w:eastAsia="Calibri" w:hAnsi="Times New Roman"/>
          <w:lang w:val="en-US" w:eastAsia="en-US"/>
        </w:rPr>
        <w:t>,</w:t>
      </w:r>
      <w:r w:rsidR="001B744D" w:rsidRPr="00D16B79">
        <w:rPr>
          <w:rFonts w:ascii="Times New Roman" w:eastAsia="Calibri" w:hAnsi="Times New Roman"/>
          <w:lang w:val="en-US" w:eastAsia="en-US"/>
        </w:rPr>
        <w:t xml:space="preserve"> we carried out </w:t>
      </w:r>
      <w:r w:rsidR="00CC422D" w:rsidRPr="00D16B79">
        <w:rPr>
          <w:rFonts w:ascii="Times New Roman" w:eastAsia="Calibri" w:hAnsi="Times New Roman"/>
          <w:lang w:val="en-US" w:eastAsia="en-US"/>
        </w:rPr>
        <w:t xml:space="preserve">two </w:t>
      </w:r>
      <w:r w:rsidR="001B744D" w:rsidRPr="00D16B79">
        <w:rPr>
          <w:rFonts w:ascii="Times New Roman" w:eastAsia="Calibri" w:hAnsi="Times New Roman"/>
          <w:lang w:val="en-US" w:eastAsia="en-US"/>
        </w:rPr>
        <w:t xml:space="preserve">mediation </w:t>
      </w:r>
      <w:r w:rsidR="00CC422D" w:rsidRPr="00D16B79">
        <w:rPr>
          <w:rFonts w:ascii="Times New Roman" w:eastAsia="Calibri" w:hAnsi="Times New Roman"/>
          <w:lang w:val="en-US" w:eastAsia="en-US"/>
        </w:rPr>
        <w:t>analyses</w:t>
      </w:r>
      <w:r w:rsidR="00640325">
        <w:rPr>
          <w:rFonts w:ascii="Times New Roman" w:eastAsia="Calibri" w:hAnsi="Times New Roman"/>
          <w:lang w:val="en-US" w:eastAsia="en-US"/>
        </w:rPr>
        <w:t>, each with a different</w:t>
      </w:r>
      <w:r w:rsidR="00F7539C">
        <w:rPr>
          <w:rFonts w:ascii="Times New Roman" w:eastAsia="Calibri" w:hAnsi="Times New Roman"/>
          <w:lang w:val="en-US" w:eastAsia="en-US"/>
        </w:rPr>
        <w:t xml:space="preserve"> </w:t>
      </w:r>
      <w:r w:rsidR="00C13C5B" w:rsidRPr="00D16B79">
        <w:rPr>
          <w:rFonts w:ascii="Times New Roman" w:eastAsia="Calibri" w:hAnsi="Times New Roman"/>
          <w:lang w:val="en-US" w:eastAsia="en-US"/>
        </w:rPr>
        <w:t>dependent variable</w:t>
      </w:r>
      <w:r w:rsidR="001B744D" w:rsidRPr="00D16B79">
        <w:rPr>
          <w:rFonts w:ascii="Times New Roman" w:eastAsia="Calibri" w:hAnsi="Times New Roman"/>
          <w:lang w:val="en-US" w:eastAsia="en-US"/>
        </w:rPr>
        <w:t>.</w:t>
      </w:r>
      <w:r w:rsidR="00640325">
        <w:rPr>
          <w:rFonts w:ascii="Times New Roman" w:eastAsia="Calibri" w:hAnsi="Times New Roman"/>
          <w:lang w:val="en-US" w:eastAsia="en-US"/>
        </w:rPr>
        <w:t xml:space="preserve"> The first mediation analysis looked </w:t>
      </w:r>
      <w:bookmarkStart w:id="10" w:name="_Hlk156584751"/>
      <w:r w:rsidR="00640325">
        <w:rPr>
          <w:rFonts w:ascii="Times New Roman" w:eastAsia="Calibri" w:hAnsi="Times New Roman"/>
          <w:lang w:val="en-US" w:eastAsia="en-US"/>
        </w:rPr>
        <w:t>at donations to the charity farther from its goal</w:t>
      </w:r>
      <w:r w:rsidR="00D74DA0">
        <w:rPr>
          <w:rFonts w:ascii="Times New Roman" w:eastAsia="Calibri" w:hAnsi="Times New Roman"/>
          <w:lang w:val="en-US" w:eastAsia="en-US"/>
        </w:rPr>
        <w:t xml:space="preserve"> </w:t>
      </w:r>
      <w:bookmarkEnd w:id="10"/>
      <w:r w:rsidR="00D74DA0">
        <w:rPr>
          <w:rFonts w:ascii="Times New Roman" w:eastAsia="Calibri" w:hAnsi="Times New Roman"/>
          <w:lang w:val="en-US" w:eastAsia="en-US"/>
        </w:rPr>
        <w:t xml:space="preserve">comparing </w:t>
      </w:r>
      <w:bookmarkStart w:id="11" w:name="_Hlk156584730"/>
      <w:r w:rsidR="00D74DA0">
        <w:rPr>
          <w:rFonts w:ascii="Times New Roman" w:eastAsia="Calibri" w:hAnsi="Times New Roman"/>
          <w:lang w:val="en-US" w:eastAsia="en-US"/>
        </w:rPr>
        <w:t xml:space="preserve">the joint evaluation condition with the separate </w:t>
      </w:r>
      <w:r w:rsidR="000B1982">
        <w:rPr>
          <w:rFonts w:ascii="Times New Roman" w:eastAsia="Calibri" w:hAnsi="Times New Roman"/>
          <w:lang w:val="en-US" w:eastAsia="en-US"/>
        </w:rPr>
        <w:t xml:space="preserve">evaluation </w:t>
      </w:r>
      <w:r w:rsidR="00D74DA0">
        <w:rPr>
          <w:rFonts w:ascii="Times New Roman" w:eastAsia="Calibri" w:hAnsi="Times New Roman"/>
          <w:lang w:val="en-US" w:eastAsia="en-US"/>
        </w:rPr>
        <w:t>far condition</w:t>
      </w:r>
      <w:bookmarkEnd w:id="11"/>
      <w:r w:rsidR="00640325">
        <w:rPr>
          <w:rFonts w:ascii="Times New Roman" w:eastAsia="Calibri" w:hAnsi="Times New Roman"/>
          <w:lang w:val="en-US" w:eastAsia="en-US"/>
        </w:rPr>
        <w:t>.</w:t>
      </w:r>
      <w:r w:rsidR="00811942" w:rsidRPr="00D16B79">
        <w:rPr>
          <w:rFonts w:ascii="Times New Roman" w:eastAsia="Calibri" w:hAnsi="Times New Roman"/>
          <w:lang w:val="en-US" w:eastAsia="en-US"/>
        </w:rPr>
        <w:t xml:space="preserve"> </w:t>
      </w:r>
      <w:bookmarkStart w:id="12" w:name="_Hlk156584768"/>
      <w:r w:rsidRPr="00D16B79">
        <w:rPr>
          <w:rFonts w:ascii="Times New Roman" w:eastAsia="Calibri" w:hAnsi="Times New Roman"/>
          <w:lang w:val="en-US" w:eastAsia="en-US"/>
        </w:rPr>
        <w:t>Mediation analysis using PROCESS model 4 and 5</w:t>
      </w:r>
      <w:r w:rsidR="0046041A" w:rsidRPr="00D16B79">
        <w:rPr>
          <w:rFonts w:ascii="Times New Roman" w:eastAsia="Calibri" w:hAnsi="Times New Roman"/>
          <w:lang w:val="en-US" w:eastAsia="en-US"/>
        </w:rPr>
        <w:t>,</w:t>
      </w:r>
      <w:r w:rsidRPr="00D16B79">
        <w:rPr>
          <w:rFonts w:ascii="Times New Roman" w:eastAsia="Calibri" w:hAnsi="Times New Roman"/>
          <w:lang w:val="en-US" w:eastAsia="en-US"/>
        </w:rPr>
        <w:t xml:space="preserve">000 bootstrap samples found that the effect of </w:t>
      </w:r>
      <w:r w:rsidR="002C4D93" w:rsidRPr="00D16B79">
        <w:rPr>
          <w:rFonts w:ascii="Times New Roman" w:eastAsia="Calibri" w:hAnsi="Times New Roman"/>
          <w:lang w:val="en-US" w:eastAsia="en-US"/>
        </w:rPr>
        <w:t>evaluation</w:t>
      </w:r>
      <w:r w:rsidRPr="00D16B79">
        <w:rPr>
          <w:rFonts w:ascii="Times New Roman" w:eastAsia="Calibri" w:hAnsi="Times New Roman"/>
          <w:lang w:val="en-US" w:eastAsia="en-US"/>
        </w:rPr>
        <w:t xml:space="preserve"> condition (coded JE = 1 and SE</w:t>
      </w:r>
      <w:r w:rsidR="00CC422D" w:rsidRPr="00D16B79">
        <w:rPr>
          <w:rFonts w:ascii="Times New Roman" w:eastAsia="Calibri" w:hAnsi="Times New Roman"/>
          <w:lang w:val="en-US" w:eastAsia="en-US"/>
        </w:rPr>
        <w:t xml:space="preserve"> far</w:t>
      </w:r>
      <w:r w:rsidRPr="00D16B79">
        <w:rPr>
          <w:rFonts w:ascii="Times New Roman" w:eastAsia="Calibri" w:hAnsi="Times New Roman"/>
          <w:lang w:val="en-US" w:eastAsia="en-US"/>
        </w:rPr>
        <w:t xml:space="preserve"> = 0) on donations to the </w:t>
      </w:r>
      <w:r w:rsidR="00D15D76" w:rsidRPr="00D16B79">
        <w:rPr>
          <w:rFonts w:ascii="Times New Roman" w:eastAsia="Calibri" w:hAnsi="Times New Roman"/>
          <w:lang w:val="en-US" w:eastAsia="en-US"/>
        </w:rPr>
        <w:t>charity</w:t>
      </w:r>
      <w:r w:rsidRPr="00D16B79">
        <w:rPr>
          <w:rFonts w:ascii="Times New Roman" w:eastAsia="Calibri" w:hAnsi="Times New Roman"/>
          <w:lang w:val="en-US" w:eastAsia="en-US"/>
        </w:rPr>
        <w:t xml:space="preserve"> </w:t>
      </w:r>
      <w:r w:rsidR="003C404E" w:rsidRPr="00D16B79">
        <w:rPr>
          <w:rFonts w:ascii="Times New Roman" w:eastAsia="Calibri" w:hAnsi="Times New Roman"/>
          <w:lang w:val="en-US" w:eastAsia="en-US"/>
        </w:rPr>
        <w:t>farther</w:t>
      </w:r>
      <w:r w:rsidRPr="00D16B79">
        <w:rPr>
          <w:rFonts w:ascii="Times New Roman" w:eastAsia="Calibri" w:hAnsi="Times New Roman"/>
          <w:lang w:val="en-US" w:eastAsia="en-US"/>
        </w:rPr>
        <w:t xml:space="preserve"> from its goal was mediated by perceptions of need</w:t>
      </w:r>
      <w:r w:rsidR="00CC422D" w:rsidRPr="00D16B79">
        <w:rPr>
          <w:rFonts w:ascii="Times New Roman" w:eastAsia="Calibri" w:hAnsi="Times New Roman"/>
          <w:lang w:val="en-US" w:eastAsia="en-US"/>
        </w:rPr>
        <w:t xml:space="preserve"> for help</w:t>
      </w:r>
      <w:r w:rsidRPr="00D16B79">
        <w:rPr>
          <w:rFonts w:ascii="Times New Roman" w:eastAsia="Calibri" w:hAnsi="Times New Roman"/>
          <w:lang w:val="en-US" w:eastAsia="en-US"/>
        </w:rPr>
        <w:t xml:space="preserve">, B = </w:t>
      </w:r>
      <w:r w:rsidR="0089067C" w:rsidRPr="00D16B79">
        <w:rPr>
          <w:rFonts w:ascii="Times New Roman" w:eastAsia="Calibri" w:hAnsi="Times New Roman"/>
          <w:lang w:val="en-US" w:eastAsia="en-US"/>
        </w:rPr>
        <w:t>3.90, SE = 1.51</w:t>
      </w:r>
      <w:r w:rsidRPr="00D16B79">
        <w:rPr>
          <w:rFonts w:ascii="Times New Roman" w:eastAsia="Calibri" w:hAnsi="Times New Roman"/>
          <w:lang w:val="en-US" w:eastAsia="en-US"/>
        </w:rPr>
        <w:t>, 95% CI</w:t>
      </w:r>
      <w:r w:rsidR="004908AF" w:rsidRPr="00D16B79">
        <w:rPr>
          <w:rFonts w:ascii="Times New Roman" w:eastAsia="Calibri" w:hAnsi="Times New Roman"/>
          <w:lang w:val="en-US" w:eastAsia="en-US"/>
        </w:rPr>
        <w:t xml:space="preserve"> </w:t>
      </w:r>
      <w:r w:rsidRPr="00D16B79">
        <w:rPr>
          <w:rFonts w:ascii="Times New Roman" w:eastAsia="Calibri" w:hAnsi="Times New Roman"/>
          <w:lang w:val="en-US" w:eastAsia="en-US"/>
        </w:rPr>
        <w:t>[1.</w:t>
      </w:r>
      <w:r w:rsidR="0089067C" w:rsidRPr="00D16B79">
        <w:rPr>
          <w:rFonts w:ascii="Times New Roman" w:eastAsia="Calibri" w:hAnsi="Times New Roman"/>
          <w:lang w:val="en-US" w:eastAsia="en-US"/>
        </w:rPr>
        <w:t>2</w:t>
      </w:r>
      <w:r w:rsidR="0018527D" w:rsidRPr="00D16B79">
        <w:rPr>
          <w:rFonts w:ascii="Times New Roman" w:eastAsia="Calibri" w:hAnsi="Times New Roman"/>
          <w:lang w:val="en-US" w:eastAsia="en-US"/>
        </w:rPr>
        <w:t>8</w:t>
      </w:r>
      <w:r w:rsidRPr="00D16B79">
        <w:rPr>
          <w:rFonts w:ascii="Times New Roman" w:eastAsia="Calibri" w:hAnsi="Times New Roman"/>
          <w:lang w:val="en-US" w:eastAsia="en-US"/>
        </w:rPr>
        <w:t>, 7.</w:t>
      </w:r>
      <w:r w:rsidR="0089067C" w:rsidRPr="00D16B79">
        <w:rPr>
          <w:rFonts w:ascii="Times New Roman" w:eastAsia="Calibri" w:hAnsi="Times New Roman"/>
          <w:lang w:val="en-US" w:eastAsia="en-US"/>
        </w:rPr>
        <w:t>15</w:t>
      </w:r>
      <w:r w:rsidRPr="00D16B79">
        <w:rPr>
          <w:rFonts w:ascii="Times New Roman" w:eastAsia="Calibri" w:hAnsi="Times New Roman"/>
          <w:lang w:val="en-US" w:eastAsia="en-US"/>
        </w:rPr>
        <w:t>].</w:t>
      </w:r>
      <w:r w:rsidR="0004216E" w:rsidRPr="00D16B79">
        <w:rPr>
          <w:rFonts w:ascii="Times New Roman" w:eastAsia="Calibri" w:hAnsi="Times New Roman"/>
          <w:lang w:val="en-US" w:eastAsia="en-US"/>
        </w:rPr>
        <w:t xml:space="preserve"> </w:t>
      </w:r>
      <w:bookmarkEnd w:id="12"/>
      <w:r w:rsidR="00EC3A2D" w:rsidRPr="00D16B79">
        <w:rPr>
          <w:rFonts w:ascii="Times New Roman" w:eastAsia="Calibri" w:hAnsi="Times New Roman" w:cs="Calibri"/>
          <w:lang w:val="en-US" w:eastAsia="en-US"/>
        </w:rPr>
        <w:t xml:space="preserve">A </w:t>
      </w:r>
      <w:r w:rsidR="00575AFA">
        <w:rPr>
          <w:rFonts w:ascii="Times New Roman" w:eastAsia="Calibri" w:hAnsi="Times New Roman" w:cs="Calibri"/>
          <w:lang w:val="en-US" w:eastAsia="en-US"/>
        </w:rPr>
        <w:t>second</w:t>
      </w:r>
      <w:r w:rsidR="00EC3A2D" w:rsidRPr="00D16B79">
        <w:rPr>
          <w:rFonts w:ascii="Times New Roman" w:eastAsia="Calibri" w:hAnsi="Times New Roman" w:cs="Calibri"/>
          <w:lang w:val="en-US" w:eastAsia="en-US"/>
        </w:rPr>
        <w:t xml:space="preserve"> mediation analysis</w:t>
      </w:r>
      <w:r w:rsidR="00640325">
        <w:rPr>
          <w:rFonts w:ascii="Times New Roman" w:eastAsia="Calibri" w:hAnsi="Times New Roman" w:cs="Calibri"/>
          <w:lang w:val="en-US" w:eastAsia="en-US"/>
        </w:rPr>
        <w:t xml:space="preserve"> looked at</w:t>
      </w:r>
      <w:r w:rsidR="000A20AE">
        <w:rPr>
          <w:rFonts w:ascii="Times New Roman" w:eastAsia="Calibri" w:hAnsi="Times New Roman" w:cs="Calibri"/>
          <w:lang w:val="en-US" w:eastAsia="en-US"/>
        </w:rPr>
        <w:t xml:space="preserve"> joint evaluation compared to separate evaluation close and</w:t>
      </w:r>
      <w:r w:rsidR="00640325">
        <w:rPr>
          <w:rFonts w:ascii="Times New Roman" w:eastAsia="Calibri" w:hAnsi="Times New Roman" w:cs="Calibri"/>
          <w:lang w:val="en-US" w:eastAsia="en-US"/>
        </w:rPr>
        <w:t xml:space="preserve"> donations to the charity closer to its goal</w:t>
      </w:r>
      <w:r w:rsidR="00EC3A2D" w:rsidRPr="00D16B79">
        <w:rPr>
          <w:rFonts w:ascii="Times New Roman" w:eastAsia="Calibri" w:hAnsi="Times New Roman" w:cs="Calibri"/>
          <w:lang w:val="en-US" w:eastAsia="en-US"/>
        </w:rPr>
        <w:t xml:space="preserve"> using PROCESS model 4</w:t>
      </w:r>
      <w:r w:rsidR="002C3D6E">
        <w:rPr>
          <w:rFonts w:ascii="Times New Roman" w:eastAsia="Calibri" w:hAnsi="Times New Roman" w:cs="Calibri"/>
          <w:lang w:val="en-US" w:eastAsia="en-US"/>
        </w:rPr>
        <w:t xml:space="preserve"> and 5,000 bootstrap samples. This revealed that</w:t>
      </w:r>
      <w:r w:rsidR="00CC422D" w:rsidRPr="00D16B79">
        <w:rPr>
          <w:rFonts w:ascii="Times New Roman" w:eastAsia="Calibri" w:hAnsi="Times New Roman" w:cs="Calibri"/>
          <w:lang w:val="en-US" w:eastAsia="en-US"/>
        </w:rPr>
        <w:t xml:space="preserve"> </w:t>
      </w:r>
      <w:r w:rsidR="005E14BC" w:rsidRPr="00D16B79">
        <w:rPr>
          <w:rFonts w:ascii="Times New Roman" w:eastAsia="Calibri" w:hAnsi="Times New Roman" w:cs="Calibri"/>
          <w:lang w:val="en-US" w:eastAsia="en-US"/>
        </w:rPr>
        <w:t xml:space="preserve">perceived need for help did not mediate </w:t>
      </w:r>
      <w:r w:rsidR="005E14BC">
        <w:rPr>
          <w:rFonts w:ascii="Times New Roman" w:eastAsia="Calibri" w:hAnsi="Times New Roman" w:cs="Calibri"/>
          <w:lang w:val="en-US" w:eastAsia="en-US"/>
        </w:rPr>
        <w:t>the</w:t>
      </w:r>
      <w:r w:rsidR="005E14BC" w:rsidRPr="00D16B79">
        <w:rPr>
          <w:rFonts w:ascii="Times New Roman" w:eastAsia="Calibri" w:hAnsi="Times New Roman" w:cs="Calibri"/>
          <w:lang w:val="en-US" w:eastAsia="en-US"/>
        </w:rPr>
        <w:t xml:space="preserve"> effect</w:t>
      </w:r>
      <w:r w:rsidR="005E14BC" w:rsidRPr="00D16B79" w:rsidDel="002C3D6E">
        <w:rPr>
          <w:rFonts w:ascii="Times New Roman" w:eastAsia="Calibri" w:hAnsi="Times New Roman" w:cs="Calibri"/>
          <w:lang w:val="en-US" w:eastAsia="en-US"/>
        </w:rPr>
        <w:t xml:space="preserve"> </w:t>
      </w:r>
      <w:r w:rsidR="005E14BC">
        <w:rPr>
          <w:rFonts w:ascii="Times New Roman" w:eastAsia="Calibri" w:hAnsi="Times New Roman" w:cs="Calibri"/>
          <w:lang w:val="en-US" w:eastAsia="en-US"/>
        </w:rPr>
        <w:t xml:space="preserve">of </w:t>
      </w:r>
      <w:r w:rsidR="00CC422D" w:rsidRPr="00D16B79">
        <w:rPr>
          <w:rFonts w:ascii="Times New Roman" w:eastAsia="Calibri" w:hAnsi="Times New Roman" w:cs="Calibri"/>
          <w:lang w:val="en-US" w:eastAsia="en-US"/>
        </w:rPr>
        <w:t xml:space="preserve">evaluation condition (coded JE =1 and SE close = 0) on donations to the </w:t>
      </w:r>
      <w:r w:rsidR="00EC3A2D" w:rsidRPr="00D16B79">
        <w:rPr>
          <w:rFonts w:ascii="Times New Roman" w:eastAsia="Calibri" w:hAnsi="Times New Roman" w:cs="Calibri"/>
          <w:lang w:val="en-US" w:eastAsia="en-US"/>
        </w:rPr>
        <w:t>charity closer to its goal</w:t>
      </w:r>
      <w:r w:rsidR="0004216E" w:rsidRPr="00D16B79">
        <w:rPr>
          <w:rFonts w:ascii="Times New Roman" w:eastAsia="Calibri" w:hAnsi="Times New Roman" w:cs="Calibri"/>
          <w:lang w:val="en-US" w:eastAsia="en-US"/>
        </w:rPr>
        <w:t>, B = -1.</w:t>
      </w:r>
      <w:r w:rsidR="0089067C" w:rsidRPr="00D16B79">
        <w:rPr>
          <w:rFonts w:ascii="Times New Roman" w:eastAsia="Calibri" w:hAnsi="Times New Roman" w:cs="Calibri"/>
          <w:lang w:val="en-US" w:eastAsia="en-US"/>
        </w:rPr>
        <w:t>79</w:t>
      </w:r>
      <w:r w:rsidR="0004216E" w:rsidRPr="00D16B79">
        <w:rPr>
          <w:rFonts w:ascii="Times New Roman" w:eastAsia="Calibri" w:hAnsi="Times New Roman" w:cs="Calibri"/>
          <w:lang w:val="en-US" w:eastAsia="en-US"/>
        </w:rPr>
        <w:t>,</w:t>
      </w:r>
      <w:r w:rsidR="0089067C" w:rsidRPr="00D16B79">
        <w:rPr>
          <w:rFonts w:ascii="Times New Roman" w:eastAsia="Calibri" w:hAnsi="Times New Roman" w:cs="Calibri"/>
          <w:lang w:val="en-US" w:eastAsia="en-US"/>
        </w:rPr>
        <w:t xml:space="preserve"> SE = 1.41,</w:t>
      </w:r>
      <w:r w:rsidR="0004216E" w:rsidRPr="00D16B79">
        <w:rPr>
          <w:rFonts w:ascii="Times New Roman" w:eastAsia="Calibri" w:hAnsi="Times New Roman" w:cs="Calibri"/>
          <w:lang w:val="en-US" w:eastAsia="en-US"/>
        </w:rPr>
        <w:t xml:space="preserve"> 95% CI</w:t>
      </w:r>
      <w:r w:rsidR="0018527D" w:rsidRPr="00D16B79">
        <w:rPr>
          <w:rFonts w:ascii="Times New Roman" w:eastAsia="Calibri" w:hAnsi="Times New Roman" w:cs="Calibri"/>
          <w:lang w:val="en-US" w:eastAsia="en-US"/>
        </w:rPr>
        <w:t xml:space="preserve"> </w:t>
      </w:r>
      <w:r w:rsidR="0004216E" w:rsidRPr="00D16B79">
        <w:rPr>
          <w:rFonts w:ascii="Times New Roman" w:eastAsia="Calibri" w:hAnsi="Times New Roman" w:cs="Calibri"/>
          <w:lang w:val="en-US" w:eastAsia="en-US"/>
        </w:rPr>
        <w:t>[-4.</w:t>
      </w:r>
      <w:r w:rsidR="0089067C" w:rsidRPr="00D16B79">
        <w:rPr>
          <w:rFonts w:ascii="Times New Roman" w:eastAsia="Calibri" w:hAnsi="Times New Roman" w:cs="Calibri"/>
          <w:lang w:val="en-US" w:eastAsia="en-US"/>
        </w:rPr>
        <w:t>79</w:t>
      </w:r>
      <w:r w:rsidR="0004216E" w:rsidRPr="00D16B79">
        <w:rPr>
          <w:rFonts w:ascii="Times New Roman" w:eastAsia="Calibri" w:hAnsi="Times New Roman" w:cs="Calibri"/>
          <w:lang w:val="en-US" w:eastAsia="en-US"/>
        </w:rPr>
        <w:t>, .</w:t>
      </w:r>
      <w:r w:rsidR="0089067C" w:rsidRPr="00D16B79">
        <w:rPr>
          <w:rFonts w:ascii="Times New Roman" w:eastAsia="Calibri" w:hAnsi="Times New Roman" w:cs="Calibri"/>
          <w:lang w:val="en-US" w:eastAsia="en-US"/>
        </w:rPr>
        <w:t>8</w:t>
      </w:r>
      <w:r w:rsidR="0018527D" w:rsidRPr="00D16B79">
        <w:rPr>
          <w:rFonts w:ascii="Times New Roman" w:eastAsia="Calibri" w:hAnsi="Times New Roman" w:cs="Calibri"/>
          <w:lang w:val="en-US" w:eastAsia="en-US"/>
        </w:rPr>
        <w:t>6</w:t>
      </w:r>
      <w:r w:rsidR="0004216E" w:rsidRPr="00D16B79">
        <w:rPr>
          <w:rFonts w:ascii="Times New Roman" w:eastAsia="Calibri" w:hAnsi="Times New Roman" w:cs="Calibri"/>
          <w:lang w:val="en-US" w:eastAsia="en-US"/>
        </w:rPr>
        <w:t xml:space="preserve">]. This indicates that </w:t>
      </w:r>
      <w:r w:rsidR="006635B3" w:rsidRPr="00D16B79">
        <w:rPr>
          <w:rFonts w:ascii="Times New Roman" w:eastAsia="Calibri" w:hAnsi="Times New Roman" w:cs="Calibri"/>
          <w:lang w:val="en-US" w:eastAsia="en-US"/>
        </w:rPr>
        <w:t xml:space="preserve">the </w:t>
      </w:r>
      <w:r w:rsidR="0004216E" w:rsidRPr="00D16B79">
        <w:rPr>
          <w:rFonts w:ascii="Times New Roman" w:eastAsia="Calibri" w:hAnsi="Times New Roman" w:cs="Calibri"/>
          <w:lang w:val="en-US" w:eastAsia="en-US"/>
        </w:rPr>
        <w:t xml:space="preserve">comparison in joint evaluation </w:t>
      </w:r>
      <w:r w:rsidR="00C13C5B" w:rsidRPr="00D16B79">
        <w:rPr>
          <w:rFonts w:ascii="Times New Roman" w:eastAsia="Calibri" w:hAnsi="Times New Roman" w:cs="Calibri"/>
          <w:lang w:val="en-US" w:eastAsia="en-US"/>
        </w:rPr>
        <w:t>made</w:t>
      </w:r>
      <w:r w:rsidR="0004216E" w:rsidRPr="00D16B79">
        <w:rPr>
          <w:rFonts w:ascii="Times New Roman" w:eastAsia="Calibri" w:hAnsi="Times New Roman" w:cs="Calibri"/>
          <w:lang w:val="en-US" w:eastAsia="en-US"/>
        </w:rPr>
        <w:t xml:space="preserve"> the </w:t>
      </w:r>
      <w:r w:rsidR="00C13C5B" w:rsidRPr="00D16B79">
        <w:rPr>
          <w:rFonts w:ascii="Times New Roman" w:eastAsia="Calibri" w:hAnsi="Times New Roman" w:cs="Calibri"/>
          <w:lang w:val="en-US" w:eastAsia="en-US"/>
        </w:rPr>
        <w:t xml:space="preserve">need for help </w:t>
      </w:r>
      <w:r w:rsidR="0004216E" w:rsidRPr="00D16B79">
        <w:rPr>
          <w:rFonts w:ascii="Times New Roman" w:eastAsia="Calibri" w:hAnsi="Times New Roman" w:cs="Calibri"/>
          <w:lang w:val="en-US" w:eastAsia="en-US"/>
        </w:rPr>
        <w:t xml:space="preserve">of the charity </w:t>
      </w:r>
      <w:r w:rsidR="003C404E" w:rsidRPr="00D16B79">
        <w:rPr>
          <w:rFonts w:ascii="Times New Roman" w:eastAsia="Calibri" w:hAnsi="Times New Roman" w:cs="Calibri"/>
          <w:lang w:val="en-US" w:eastAsia="en-US"/>
        </w:rPr>
        <w:t>farther</w:t>
      </w:r>
      <w:r w:rsidR="0004216E" w:rsidRPr="00D16B79">
        <w:rPr>
          <w:rFonts w:ascii="Times New Roman" w:eastAsia="Calibri" w:hAnsi="Times New Roman" w:cs="Calibri"/>
          <w:lang w:val="en-US" w:eastAsia="en-US"/>
        </w:rPr>
        <w:t xml:space="preserve"> from its goal</w:t>
      </w:r>
      <w:r w:rsidR="00C13C5B" w:rsidRPr="00D16B79">
        <w:rPr>
          <w:rFonts w:ascii="Times New Roman" w:eastAsia="Calibri" w:hAnsi="Times New Roman" w:cs="Calibri"/>
          <w:lang w:val="en-US" w:eastAsia="en-US"/>
        </w:rPr>
        <w:t xml:space="preserve"> salient</w:t>
      </w:r>
      <w:r w:rsidR="0004216E" w:rsidRPr="00D16B79">
        <w:rPr>
          <w:rFonts w:ascii="Times New Roman" w:eastAsia="Calibri" w:hAnsi="Times New Roman" w:cs="Calibri"/>
          <w:lang w:val="en-US" w:eastAsia="en-US"/>
        </w:rPr>
        <w:t xml:space="preserve">, </w:t>
      </w:r>
      <w:r w:rsidR="0024548C" w:rsidRPr="00D16B79">
        <w:rPr>
          <w:rFonts w:ascii="Times New Roman" w:eastAsia="Calibri" w:hAnsi="Times New Roman" w:cs="Calibri"/>
          <w:lang w:val="en-US" w:eastAsia="en-US"/>
        </w:rPr>
        <w:t>which</w:t>
      </w:r>
      <w:r w:rsidR="0004216E" w:rsidRPr="00D16B79">
        <w:rPr>
          <w:rFonts w:ascii="Times New Roman" w:eastAsia="Calibri" w:hAnsi="Times New Roman" w:cs="Calibri"/>
          <w:lang w:val="en-US" w:eastAsia="en-US"/>
        </w:rPr>
        <w:t xml:space="preserve"> increased donations to this charity</w:t>
      </w:r>
      <w:r w:rsidR="00C13C5B" w:rsidRPr="00D16B79">
        <w:rPr>
          <w:rFonts w:ascii="Times New Roman" w:eastAsia="Calibri" w:hAnsi="Times New Roman" w:cs="Calibri"/>
          <w:lang w:val="en-US" w:eastAsia="en-US"/>
        </w:rPr>
        <w:t>, but did not change perceptions of the charity closer to its goal</w:t>
      </w:r>
      <w:r w:rsidR="0004216E" w:rsidRPr="00D16B79">
        <w:rPr>
          <w:rFonts w:ascii="Times New Roman" w:eastAsia="Calibri" w:hAnsi="Times New Roman" w:cs="Calibri"/>
          <w:lang w:val="en-US" w:eastAsia="en-US"/>
        </w:rPr>
        <w:t xml:space="preserve">. </w:t>
      </w:r>
      <w:r w:rsidR="002C59DC" w:rsidRPr="00D16B79">
        <w:rPr>
          <w:rFonts w:ascii="Times New Roman" w:eastAsia="Calibri" w:hAnsi="Times New Roman" w:cs="Calibri"/>
          <w:lang w:val="en-US" w:eastAsia="en-US"/>
        </w:rPr>
        <w:t xml:space="preserve">Moreover, </w:t>
      </w:r>
      <w:r w:rsidR="000B2C76">
        <w:rPr>
          <w:rFonts w:ascii="Times New Roman" w:eastAsia="Calibri" w:hAnsi="Times New Roman" w:cs="Calibri"/>
          <w:lang w:val="en-US" w:eastAsia="en-US"/>
        </w:rPr>
        <w:t xml:space="preserve">a serial mediation model </w:t>
      </w:r>
      <w:r w:rsidR="000B2C76">
        <w:rPr>
          <w:rFonts w:ascii="Times New Roman" w:eastAsia="Calibri" w:hAnsi="Times New Roman" w:cs="Calibri"/>
          <w:lang w:val="en-US" w:eastAsia="en-US"/>
        </w:rPr>
        <w:lastRenderedPageBreak/>
        <w:t xml:space="preserve">including both </w:t>
      </w:r>
      <w:r w:rsidR="002C59DC" w:rsidRPr="00D16B79">
        <w:rPr>
          <w:rFonts w:ascii="Times New Roman" w:eastAsia="Calibri" w:hAnsi="Times New Roman" w:cs="Calibri"/>
          <w:lang w:val="en-US" w:eastAsia="en-US"/>
        </w:rPr>
        <w:t xml:space="preserve">perceptions of </w:t>
      </w:r>
      <w:r w:rsidR="000B2C76">
        <w:rPr>
          <w:rFonts w:ascii="Times New Roman" w:eastAsia="Calibri" w:hAnsi="Times New Roman" w:cs="Calibri"/>
          <w:lang w:val="en-US" w:eastAsia="en-US"/>
        </w:rPr>
        <w:t xml:space="preserve">need and </w:t>
      </w:r>
      <w:r w:rsidR="002C59DC" w:rsidRPr="00D16B79">
        <w:rPr>
          <w:rFonts w:ascii="Times New Roman" w:eastAsia="Calibri" w:hAnsi="Times New Roman" w:cs="Calibri"/>
          <w:lang w:val="en-US" w:eastAsia="en-US"/>
        </w:rPr>
        <w:t xml:space="preserve">warmth </w:t>
      </w:r>
      <w:r w:rsidR="00023EED">
        <w:rPr>
          <w:rFonts w:ascii="Times New Roman" w:eastAsia="Calibri" w:hAnsi="Times New Roman" w:cs="Calibri"/>
          <w:lang w:val="en-US" w:eastAsia="en-US"/>
        </w:rPr>
        <w:t xml:space="preserve">showed that warmth </w:t>
      </w:r>
      <w:r w:rsidR="002C59DC" w:rsidRPr="00D16B79">
        <w:rPr>
          <w:rFonts w:ascii="Times New Roman" w:eastAsia="Calibri" w:hAnsi="Times New Roman" w:cs="Calibri"/>
          <w:lang w:val="en-US" w:eastAsia="en-US"/>
        </w:rPr>
        <w:t>did not mediate donations</w:t>
      </w:r>
      <w:r w:rsidR="00F1693F" w:rsidRPr="00D16B79">
        <w:rPr>
          <w:rFonts w:ascii="Times New Roman" w:eastAsia="Calibri" w:hAnsi="Times New Roman" w:cs="Calibri"/>
          <w:lang w:val="en-US" w:eastAsia="en-US"/>
        </w:rPr>
        <w:t xml:space="preserve"> to</w:t>
      </w:r>
      <w:r w:rsidR="002C59DC" w:rsidRPr="00D16B79">
        <w:rPr>
          <w:rFonts w:ascii="Times New Roman" w:eastAsia="Calibri" w:hAnsi="Times New Roman" w:cs="Calibri"/>
          <w:lang w:val="en-US" w:eastAsia="en-US"/>
        </w:rPr>
        <w:t xml:space="preserve"> the charity farther from its goal, B = </w:t>
      </w:r>
      <w:r w:rsidR="000B2C76">
        <w:rPr>
          <w:rFonts w:ascii="Times New Roman" w:eastAsia="Calibri" w:hAnsi="Times New Roman" w:cs="Calibri"/>
          <w:lang w:val="en-US" w:eastAsia="en-US"/>
        </w:rPr>
        <w:t>.77</w:t>
      </w:r>
      <w:r w:rsidR="002C59DC" w:rsidRPr="00D16B79">
        <w:rPr>
          <w:rFonts w:ascii="Times New Roman" w:eastAsia="Calibri" w:hAnsi="Times New Roman" w:cs="Calibri"/>
          <w:lang w:val="en-US" w:eastAsia="en-US"/>
        </w:rPr>
        <w:t xml:space="preserve">, SE = </w:t>
      </w:r>
      <w:r w:rsidR="000B2C76">
        <w:rPr>
          <w:rFonts w:ascii="Times New Roman" w:eastAsia="Calibri" w:hAnsi="Times New Roman" w:cs="Calibri"/>
          <w:lang w:val="en-US" w:eastAsia="en-US"/>
        </w:rPr>
        <w:t>.78</w:t>
      </w:r>
      <w:r w:rsidR="002C59DC" w:rsidRPr="00D16B79">
        <w:rPr>
          <w:rFonts w:ascii="Times New Roman" w:eastAsia="Calibri" w:hAnsi="Times New Roman" w:cs="Calibri"/>
          <w:lang w:val="en-US" w:eastAsia="en-US"/>
        </w:rPr>
        <w:t>, 95% CI [-</w:t>
      </w:r>
      <w:r w:rsidR="00386243" w:rsidRPr="00D16B79">
        <w:rPr>
          <w:rFonts w:ascii="Times New Roman" w:eastAsia="Calibri" w:hAnsi="Times New Roman" w:cs="Calibri"/>
          <w:lang w:val="en-US" w:eastAsia="en-US"/>
        </w:rPr>
        <w:t>.</w:t>
      </w:r>
      <w:r w:rsidR="000B2C76">
        <w:rPr>
          <w:rFonts w:ascii="Times New Roman" w:eastAsia="Calibri" w:hAnsi="Times New Roman" w:cs="Calibri"/>
          <w:lang w:val="en-US" w:eastAsia="en-US"/>
        </w:rPr>
        <w:t>46</w:t>
      </w:r>
      <w:r w:rsidR="002C59DC" w:rsidRPr="00D16B79">
        <w:rPr>
          <w:rFonts w:ascii="Times New Roman" w:eastAsia="Calibri" w:hAnsi="Times New Roman" w:cs="Calibri"/>
          <w:lang w:val="en-US" w:eastAsia="en-US"/>
        </w:rPr>
        <w:t>,</w:t>
      </w:r>
      <w:r w:rsidR="00386243" w:rsidRPr="00D16B79">
        <w:rPr>
          <w:rFonts w:ascii="Times New Roman" w:eastAsia="Calibri" w:hAnsi="Times New Roman" w:cs="Calibri"/>
          <w:lang w:val="en-US" w:eastAsia="en-US"/>
        </w:rPr>
        <w:t xml:space="preserve"> </w:t>
      </w:r>
      <w:r w:rsidR="000B2C76">
        <w:rPr>
          <w:rFonts w:ascii="Times New Roman" w:eastAsia="Calibri" w:hAnsi="Times New Roman" w:cs="Calibri"/>
          <w:lang w:val="en-US" w:eastAsia="en-US"/>
        </w:rPr>
        <w:t>2.59</w:t>
      </w:r>
      <w:r w:rsidR="002C59DC" w:rsidRPr="00D16B79">
        <w:rPr>
          <w:rFonts w:ascii="Times New Roman" w:eastAsia="Calibri" w:hAnsi="Times New Roman" w:cs="Calibri"/>
          <w:lang w:val="en-US" w:eastAsia="en-US"/>
        </w:rPr>
        <w:t>]</w:t>
      </w:r>
      <w:r w:rsidR="000B2C76">
        <w:rPr>
          <w:rFonts w:ascii="Times New Roman" w:eastAsia="Calibri" w:hAnsi="Times New Roman" w:cs="Calibri"/>
          <w:lang w:val="en-US" w:eastAsia="en-US"/>
        </w:rPr>
        <w:t xml:space="preserve"> or closer to its goal </w:t>
      </w:r>
      <w:r w:rsidR="000B2C76" w:rsidRPr="00D16B79">
        <w:rPr>
          <w:rFonts w:ascii="Times New Roman" w:eastAsia="Calibri" w:hAnsi="Times New Roman" w:cs="Calibri"/>
          <w:lang w:val="en-US" w:eastAsia="en-US"/>
        </w:rPr>
        <w:t xml:space="preserve">B = </w:t>
      </w:r>
      <w:r w:rsidR="000B1982">
        <w:rPr>
          <w:rFonts w:ascii="Times New Roman" w:eastAsia="Calibri" w:hAnsi="Times New Roman" w:cs="Calibri"/>
          <w:lang w:val="en-US" w:eastAsia="en-US"/>
        </w:rPr>
        <w:t>1.73</w:t>
      </w:r>
      <w:r w:rsidR="000B2C76" w:rsidRPr="00D16B79">
        <w:rPr>
          <w:rFonts w:ascii="Times New Roman" w:eastAsia="Calibri" w:hAnsi="Times New Roman" w:cs="Calibri"/>
          <w:lang w:val="en-US" w:eastAsia="en-US"/>
        </w:rPr>
        <w:t xml:space="preserve">, SE = </w:t>
      </w:r>
      <w:r w:rsidR="000B1982">
        <w:rPr>
          <w:rFonts w:ascii="Times New Roman" w:eastAsia="Calibri" w:hAnsi="Times New Roman" w:cs="Calibri"/>
          <w:lang w:val="en-US" w:eastAsia="en-US"/>
        </w:rPr>
        <w:t>1.14</w:t>
      </w:r>
      <w:r w:rsidR="000B2C76" w:rsidRPr="00D16B79">
        <w:rPr>
          <w:rFonts w:ascii="Times New Roman" w:eastAsia="Calibri" w:hAnsi="Times New Roman" w:cs="Calibri"/>
          <w:lang w:val="en-US" w:eastAsia="en-US"/>
        </w:rPr>
        <w:t>, 95% CI [-.</w:t>
      </w:r>
      <w:r w:rsidR="000B2C76">
        <w:rPr>
          <w:rFonts w:ascii="Times New Roman" w:eastAsia="Calibri" w:hAnsi="Times New Roman" w:cs="Calibri"/>
          <w:lang w:val="en-US" w:eastAsia="en-US"/>
        </w:rPr>
        <w:t>03</w:t>
      </w:r>
      <w:r w:rsidR="000B2C76" w:rsidRPr="00D16B79">
        <w:rPr>
          <w:rFonts w:ascii="Times New Roman" w:eastAsia="Calibri" w:hAnsi="Times New Roman" w:cs="Calibri"/>
          <w:lang w:val="en-US" w:eastAsia="en-US"/>
        </w:rPr>
        <w:t xml:space="preserve">, </w:t>
      </w:r>
      <w:r w:rsidR="000B2C76">
        <w:rPr>
          <w:rFonts w:ascii="Times New Roman" w:eastAsia="Calibri" w:hAnsi="Times New Roman" w:cs="Calibri"/>
          <w:lang w:val="en-US" w:eastAsia="en-US"/>
        </w:rPr>
        <w:t>4.37</w:t>
      </w:r>
      <w:r w:rsidR="000B2C76" w:rsidRPr="00D16B79">
        <w:rPr>
          <w:rFonts w:ascii="Times New Roman" w:eastAsia="Calibri" w:hAnsi="Times New Roman" w:cs="Calibri"/>
          <w:lang w:val="en-US" w:eastAsia="en-US"/>
        </w:rPr>
        <w:t>]</w:t>
      </w:r>
      <w:r w:rsidR="00386243" w:rsidRPr="00D16B79">
        <w:rPr>
          <w:rFonts w:ascii="Times New Roman" w:eastAsia="Calibri" w:hAnsi="Times New Roman" w:cs="Calibri"/>
          <w:lang w:val="en-US" w:eastAsia="en-US"/>
        </w:rPr>
        <w:t xml:space="preserve">. </w:t>
      </w:r>
    </w:p>
    <w:p w14:paraId="23015137" w14:textId="600602A3" w:rsidR="002642F1" w:rsidRDefault="001443D7" w:rsidP="00EA5908">
      <w:pPr>
        <w:spacing w:line="480" w:lineRule="auto"/>
        <w:ind w:firstLine="720"/>
        <w:rPr>
          <w:rFonts w:ascii="Times New Roman" w:eastAsia="Calibri" w:hAnsi="Times New Roman" w:cs="Calibri"/>
          <w:lang w:val="en-US" w:eastAsia="en-US"/>
        </w:rPr>
      </w:pPr>
      <w:r>
        <w:rPr>
          <w:rFonts w:ascii="Times New Roman" w:eastAsia="Calibri" w:hAnsi="Times New Roman" w:cs="Calibri"/>
          <w:lang w:val="en-US" w:eastAsia="en-US"/>
        </w:rPr>
        <w:t>T</w:t>
      </w:r>
      <w:r w:rsidR="00CC422D" w:rsidRPr="00DA076F">
        <w:rPr>
          <w:rFonts w:ascii="Times New Roman" w:eastAsia="Calibri" w:hAnsi="Times New Roman" w:cs="Calibri"/>
          <w:lang w:val="en-US" w:eastAsia="en-US"/>
        </w:rPr>
        <w:t xml:space="preserve">wo </w:t>
      </w:r>
      <w:r w:rsidR="006635B3" w:rsidRPr="00DA076F">
        <w:rPr>
          <w:rFonts w:ascii="Times New Roman" w:eastAsia="Calibri" w:hAnsi="Times New Roman" w:cs="Calibri"/>
          <w:lang w:val="en-US" w:eastAsia="en-US"/>
        </w:rPr>
        <w:t>research assistant</w:t>
      </w:r>
      <w:r w:rsidR="00CC422D" w:rsidRPr="00DA076F">
        <w:rPr>
          <w:rFonts w:ascii="Times New Roman" w:eastAsia="Calibri" w:hAnsi="Times New Roman" w:cs="Calibri"/>
          <w:lang w:val="en-US" w:eastAsia="en-US"/>
        </w:rPr>
        <w:t>s</w:t>
      </w:r>
      <w:r>
        <w:rPr>
          <w:rFonts w:ascii="Times New Roman" w:eastAsia="Calibri" w:hAnsi="Times New Roman" w:cs="Calibri"/>
          <w:lang w:val="en-US" w:eastAsia="en-US"/>
        </w:rPr>
        <w:t>,</w:t>
      </w:r>
      <w:r w:rsidR="006635B3" w:rsidRPr="00DA076F">
        <w:rPr>
          <w:rFonts w:ascii="Times New Roman" w:eastAsia="Calibri" w:hAnsi="Times New Roman" w:cs="Calibri"/>
          <w:lang w:val="en-US" w:eastAsia="en-US"/>
        </w:rPr>
        <w:t xml:space="preserve"> blind to our hypotheses</w:t>
      </w:r>
      <w:r>
        <w:rPr>
          <w:rFonts w:ascii="Times New Roman" w:eastAsia="Calibri" w:hAnsi="Times New Roman" w:cs="Calibri"/>
          <w:lang w:val="en-US" w:eastAsia="en-US"/>
        </w:rPr>
        <w:t>,</w:t>
      </w:r>
      <w:r w:rsidR="006635B3" w:rsidRPr="00DA076F">
        <w:rPr>
          <w:rFonts w:ascii="Times New Roman" w:eastAsia="Calibri" w:hAnsi="Times New Roman" w:cs="Calibri"/>
          <w:lang w:val="en-US" w:eastAsia="en-US"/>
        </w:rPr>
        <w:t xml:space="preserve"> code</w:t>
      </w:r>
      <w:r w:rsidR="0044703A" w:rsidRPr="00DA076F">
        <w:rPr>
          <w:rFonts w:ascii="Times New Roman" w:eastAsia="Calibri" w:hAnsi="Times New Roman" w:cs="Calibri"/>
          <w:lang w:val="en-US" w:eastAsia="en-US"/>
        </w:rPr>
        <w:t>d</w:t>
      </w:r>
      <w:r w:rsidR="006635B3" w:rsidRPr="00DA076F">
        <w:rPr>
          <w:rFonts w:ascii="Times New Roman" w:eastAsia="Calibri" w:hAnsi="Times New Roman" w:cs="Calibri"/>
          <w:lang w:val="en-US" w:eastAsia="en-US"/>
        </w:rPr>
        <w:t xml:space="preserve"> the open-ended responses </w:t>
      </w:r>
      <w:r w:rsidR="0044703A" w:rsidRPr="00DA076F">
        <w:rPr>
          <w:rFonts w:ascii="Times New Roman" w:eastAsia="Calibri" w:hAnsi="Times New Roman" w:cs="Calibri"/>
          <w:lang w:val="en-US" w:eastAsia="en-US"/>
        </w:rPr>
        <w:t>on</w:t>
      </w:r>
      <w:r w:rsidR="006635B3" w:rsidRPr="00DA076F">
        <w:rPr>
          <w:rFonts w:ascii="Times New Roman" w:eastAsia="Calibri" w:hAnsi="Times New Roman" w:cs="Calibri"/>
          <w:lang w:val="en-US" w:eastAsia="en-US"/>
        </w:rPr>
        <w:t xml:space="preserve"> </w:t>
      </w:r>
      <w:r w:rsidR="00B84B7B" w:rsidRPr="00DA076F">
        <w:rPr>
          <w:rFonts w:ascii="Times New Roman" w:eastAsia="Calibri" w:hAnsi="Times New Roman" w:cs="Calibri"/>
          <w:lang w:val="en-US" w:eastAsia="en-US"/>
        </w:rPr>
        <w:t>whether</w:t>
      </w:r>
      <w:r w:rsidR="006635B3" w:rsidRPr="00DA076F">
        <w:rPr>
          <w:rFonts w:ascii="Times New Roman" w:eastAsia="Calibri" w:hAnsi="Times New Roman" w:cs="Calibri"/>
          <w:lang w:val="en-US" w:eastAsia="en-US"/>
        </w:rPr>
        <w:t xml:space="preserve"> decisions were based on need</w:t>
      </w:r>
      <w:r>
        <w:rPr>
          <w:rFonts w:ascii="Times New Roman" w:eastAsia="Calibri" w:hAnsi="Times New Roman" w:cs="Calibri"/>
          <w:lang w:val="en-US" w:eastAsia="en-US"/>
        </w:rPr>
        <w:t xml:space="preserve"> for help</w:t>
      </w:r>
      <w:r w:rsidR="006635B3" w:rsidRPr="00DA076F">
        <w:rPr>
          <w:rFonts w:ascii="Times New Roman" w:eastAsia="Calibri" w:hAnsi="Times New Roman" w:cs="Calibri"/>
          <w:lang w:val="en-US" w:eastAsia="en-US"/>
        </w:rPr>
        <w:t>, fairness, impact</w:t>
      </w:r>
      <w:r w:rsidR="00CC422D" w:rsidRPr="00DA076F">
        <w:rPr>
          <w:rFonts w:ascii="Times New Roman" w:eastAsia="Calibri" w:hAnsi="Times New Roman" w:cs="Calibri"/>
          <w:lang w:val="en-US" w:eastAsia="en-US"/>
        </w:rPr>
        <w:t>, goal</w:t>
      </w:r>
      <w:r w:rsidR="00B84B7B" w:rsidRPr="00DA076F">
        <w:rPr>
          <w:rFonts w:ascii="Times New Roman" w:eastAsia="Calibri" w:hAnsi="Times New Roman" w:cs="Calibri"/>
          <w:lang w:val="en-US" w:eastAsia="en-US"/>
        </w:rPr>
        <w:t xml:space="preserve"> </w:t>
      </w:r>
      <w:r w:rsidR="00CC422D" w:rsidRPr="00DA076F">
        <w:rPr>
          <w:rFonts w:ascii="Times New Roman" w:eastAsia="Calibri" w:hAnsi="Times New Roman" w:cs="Calibri"/>
          <w:lang w:val="en-US" w:eastAsia="en-US"/>
        </w:rPr>
        <w:t xml:space="preserve">completion, </w:t>
      </w:r>
      <w:r w:rsidR="0044703A" w:rsidRPr="00DA076F">
        <w:rPr>
          <w:rFonts w:ascii="Times New Roman" w:eastAsia="Calibri" w:hAnsi="Times New Roman" w:cs="Calibri"/>
          <w:lang w:val="en-US" w:eastAsia="en-US"/>
        </w:rPr>
        <w:t>or</w:t>
      </w:r>
      <w:r w:rsidR="00CC422D" w:rsidRPr="00DA076F">
        <w:rPr>
          <w:rFonts w:ascii="Times New Roman" w:eastAsia="Calibri" w:hAnsi="Times New Roman" w:cs="Calibri"/>
          <w:lang w:val="en-US" w:eastAsia="en-US"/>
        </w:rPr>
        <w:t xml:space="preserve"> other factors</w:t>
      </w:r>
      <w:r w:rsidR="006635B3" w:rsidRPr="00DA076F">
        <w:rPr>
          <w:rFonts w:ascii="Times New Roman" w:eastAsia="Calibri" w:hAnsi="Times New Roman" w:cs="Calibri"/>
          <w:lang w:val="en-US" w:eastAsia="en-US"/>
        </w:rPr>
        <w:t>.</w:t>
      </w:r>
      <w:r w:rsidR="001C77FC" w:rsidRPr="00DA076F">
        <w:rPr>
          <w:rFonts w:ascii="Times New Roman" w:eastAsia="Calibri" w:hAnsi="Times New Roman" w:cs="Calibri"/>
          <w:lang w:val="en-US" w:eastAsia="en-US"/>
        </w:rPr>
        <w:t xml:space="preserve"> The average </w:t>
      </w:r>
      <w:r w:rsidR="00601B68">
        <w:rPr>
          <w:rFonts w:ascii="Times New Roman" w:eastAsia="Calibri" w:hAnsi="Times New Roman" w:cs="Calibri"/>
          <w:lang w:val="en-US" w:eastAsia="en-US"/>
        </w:rPr>
        <w:t>inter-rater reliability was</w:t>
      </w:r>
      <w:r w:rsidR="001C77FC" w:rsidRPr="00DA076F">
        <w:rPr>
          <w:rFonts w:ascii="Times New Roman" w:eastAsia="Calibri" w:hAnsi="Times New Roman" w:cs="Calibri"/>
          <w:lang w:val="en-US" w:eastAsia="en-US"/>
        </w:rPr>
        <w:t xml:space="preserve"> </w:t>
      </w:r>
      <w:r w:rsidR="0044703A" w:rsidRPr="00DA076F">
        <w:rPr>
          <w:rFonts w:ascii="Times New Roman" w:eastAsia="Calibri" w:hAnsi="Times New Roman" w:cs="Calibri"/>
          <w:lang w:val="en-US" w:eastAsia="en-US"/>
        </w:rPr>
        <w:t>87</w:t>
      </w:r>
      <w:r w:rsidR="001C77FC" w:rsidRPr="00DA076F">
        <w:rPr>
          <w:rFonts w:ascii="Times New Roman" w:eastAsia="Calibri" w:hAnsi="Times New Roman" w:cs="Calibri"/>
          <w:lang w:val="en-US" w:eastAsia="en-US"/>
        </w:rPr>
        <w:t xml:space="preserve">% and </w:t>
      </w:r>
      <w:r w:rsidR="00322BCA">
        <w:rPr>
          <w:rFonts w:ascii="Times New Roman" w:eastAsia="Calibri" w:hAnsi="Times New Roman" w:cs="Calibri"/>
          <w:lang w:val="en-US" w:eastAsia="en-US"/>
        </w:rPr>
        <w:t>any inconsistencies were resolved through discussion</w:t>
      </w:r>
      <w:r w:rsidR="00E07265" w:rsidRPr="00DA076F">
        <w:rPr>
          <w:rFonts w:ascii="Times New Roman" w:eastAsia="Calibri" w:hAnsi="Times New Roman" w:cs="Calibri"/>
          <w:lang w:val="en-US" w:eastAsia="en-US"/>
        </w:rPr>
        <w:t>.</w:t>
      </w:r>
      <w:r w:rsidR="006635B3" w:rsidRPr="00DA076F">
        <w:rPr>
          <w:rFonts w:ascii="Times New Roman" w:eastAsia="Calibri" w:hAnsi="Times New Roman" w:cs="Calibri"/>
          <w:lang w:val="en-US" w:eastAsia="en-US"/>
        </w:rPr>
        <w:t xml:space="preserve"> In joint evaluation, </w:t>
      </w:r>
      <w:r w:rsidR="00810D12">
        <w:rPr>
          <w:rFonts w:ascii="Times New Roman" w:eastAsia="Calibri" w:hAnsi="Times New Roman" w:cs="Calibri"/>
          <w:lang w:val="en-US" w:eastAsia="en-US"/>
        </w:rPr>
        <w:t>52</w:t>
      </w:r>
      <w:r w:rsidR="006635B3" w:rsidRPr="00DA076F">
        <w:rPr>
          <w:rFonts w:ascii="Times New Roman" w:eastAsia="Calibri" w:hAnsi="Times New Roman" w:cs="Calibri"/>
          <w:lang w:val="en-US" w:eastAsia="en-US"/>
        </w:rPr>
        <w:t>% of participants mentioned need</w:t>
      </w:r>
      <w:r>
        <w:rPr>
          <w:rFonts w:ascii="Times New Roman" w:eastAsia="Calibri" w:hAnsi="Times New Roman" w:cs="Calibri"/>
          <w:lang w:val="en-US" w:eastAsia="en-US"/>
        </w:rPr>
        <w:t xml:space="preserve"> for help</w:t>
      </w:r>
      <w:r w:rsidR="006635B3" w:rsidRPr="00DA076F">
        <w:rPr>
          <w:rFonts w:ascii="Times New Roman" w:eastAsia="Calibri" w:hAnsi="Times New Roman" w:cs="Calibri"/>
          <w:lang w:val="en-US" w:eastAsia="en-US"/>
        </w:rPr>
        <w:t xml:space="preserve">, while only </w:t>
      </w:r>
      <w:r w:rsidR="00CC422D" w:rsidRPr="00DA076F">
        <w:rPr>
          <w:rFonts w:ascii="Times New Roman" w:eastAsia="Calibri" w:hAnsi="Times New Roman" w:cs="Calibri"/>
          <w:lang w:val="en-US" w:eastAsia="en-US"/>
        </w:rPr>
        <w:t>1</w:t>
      </w:r>
      <w:r w:rsidR="00810D12">
        <w:rPr>
          <w:rFonts w:ascii="Times New Roman" w:eastAsia="Calibri" w:hAnsi="Times New Roman" w:cs="Calibri"/>
          <w:lang w:val="en-US" w:eastAsia="en-US"/>
        </w:rPr>
        <w:t>7</w:t>
      </w:r>
      <w:r w:rsidR="006635B3" w:rsidRPr="00DA076F">
        <w:rPr>
          <w:rFonts w:ascii="Times New Roman" w:eastAsia="Calibri" w:hAnsi="Times New Roman" w:cs="Calibri"/>
          <w:lang w:val="en-US" w:eastAsia="en-US"/>
        </w:rPr>
        <w:t xml:space="preserve">% and </w:t>
      </w:r>
      <w:r w:rsidR="008266FA" w:rsidRPr="00DA076F">
        <w:rPr>
          <w:rFonts w:ascii="Times New Roman" w:eastAsia="Calibri" w:hAnsi="Times New Roman" w:cs="Calibri"/>
          <w:lang w:val="en-US" w:eastAsia="en-US"/>
        </w:rPr>
        <w:t>23</w:t>
      </w:r>
      <w:r w:rsidR="006635B3" w:rsidRPr="00DA076F">
        <w:rPr>
          <w:rFonts w:ascii="Times New Roman" w:eastAsia="Calibri" w:hAnsi="Times New Roman" w:cs="Calibri"/>
          <w:lang w:val="en-US" w:eastAsia="en-US"/>
        </w:rPr>
        <w:t>% mentioned need in separate evaluation far</w:t>
      </w:r>
      <w:r w:rsidR="008266FA" w:rsidRPr="00DA076F">
        <w:rPr>
          <w:rFonts w:ascii="Times New Roman" w:eastAsia="Calibri" w:hAnsi="Times New Roman" w:cs="Calibri"/>
          <w:lang w:val="en-US" w:eastAsia="en-US"/>
        </w:rPr>
        <w:t xml:space="preserve"> and close</w:t>
      </w:r>
      <w:r>
        <w:rPr>
          <w:rFonts w:ascii="Times New Roman" w:eastAsia="Calibri" w:hAnsi="Times New Roman" w:cs="Calibri"/>
          <w:lang w:val="en-US" w:eastAsia="en-US"/>
        </w:rPr>
        <w:t xml:space="preserve"> conditions</w:t>
      </w:r>
      <w:r w:rsidR="00E46394" w:rsidRPr="00DA076F">
        <w:rPr>
          <w:rFonts w:ascii="Times New Roman" w:eastAsia="Calibri" w:hAnsi="Times New Roman" w:cs="Calibri"/>
          <w:lang w:val="en-US" w:eastAsia="en-US"/>
        </w:rPr>
        <w:t>,</w:t>
      </w:r>
      <w:r w:rsidR="006635B3" w:rsidRPr="00DA076F">
        <w:rPr>
          <w:rFonts w:ascii="Times New Roman" w:eastAsia="Calibri" w:hAnsi="Times New Roman" w:cs="Calibri"/>
          <w:lang w:val="en-US" w:eastAsia="en-US"/>
        </w:rPr>
        <w:t xml:space="preserve"> respectively</w:t>
      </w:r>
      <w:r w:rsidR="00093040">
        <w:rPr>
          <w:rFonts w:ascii="Times New Roman" w:eastAsia="Calibri" w:hAnsi="Times New Roman" w:cs="Calibri"/>
          <w:lang w:val="en-US" w:eastAsia="en-US"/>
        </w:rPr>
        <w:t>,</w:t>
      </w:r>
      <w:r w:rsidR="00093040" w:rsidRPr="00093040">
        <w:rPr>
          <w:rFonts w:ascii="Times New Roman" w:eastAsia="Calibri" w:hAnsi="Times New Roman"/>
          <w:lang w:val="en-US" w:eastAsia="en-US"/>
        </w:rPr>
        <w:t xml:space="preserve"> </w:t>
      </w:r>
      <w:r w:rsidR="00093040" w:rsidRPr="00D16B79">
        <w:rPr>
          <w:rFonts w:ascii="Times New Roman" w:eastAsia="Calibri" w:hAnsi="Times New Roman"/>
          <w:lang w:val="en-US" w:eastAsia="en-US"/>
        </w:rPr>
        <w:t>χ</w:t>
      </w:r>
      <w:r w:rsidR="00093040" w:rsidRPr="00D16B79">
        <w:rPr>
          <w:rFonts w:ascii="Times New Roman" w:eastAsia="Calibri" w:hAnsi="Times New Roman"/>
          <w:vertAlign w:val="superscript"/>
          <w:lang w:val="en-US" w:eastAsia="en-US"/>
        </w:rPr>
        <w:t>2</w:t>
      </w:r>
      <w:r w:rsidR="00093040" w:rsidRPr="00D16B79">
        <w:rPr>
          <w:rFonts w:ascii="Times New Roman" w:eastAsia="Calibri" w:hAnsi="Times New Roman"/>
          <w:lang w:val="en-US" w:eastAsia="en-US"/>
        </w:rPr>
        <w:t xml:space="preserve">(2, N = </w:t>
      </w:r>
      <w:r w:rsidR="00093040">
        <w:rPr>
          <w:rFonts w:ascii="Times New Roman" w:eastAsia="Calibri" w:hAnsi="Times New Roman"/>
          <w:lang w:val="en-US" w:eastAsia="en-US"/>
        </w:rPr>
        <w:t>280</w:t>
      </w:r>
      <w:r w:rsidR="00093040" w:rsidRPr="00D16B79">
        <w:rPr>
          <w:rFonts w:ascii="Times New Roman" w:eastAsia="Calibri" w:hAnsi="Times New Roman"/>
          <w:lang w:val="en-US" w:eastAsia="en-US"/>
        </w:rPr>
        <w:t xml:space="preserve">) = </w:t>
      </w:r>
      <w:r w:rsidR="00093040">
        <w:rPr>
          <w:rFonts w:ascii="Times New Roman" w:eastAsia="Calibri" w:hAnsi="Times New Roman"/>
          <w:lang w:val="en-US" w:eastAsia="en-US"/>
        </w:rPr>
        <w:t>31.02</w:t>
      </w:r>
      <w:r w:rsidR="00093040" w:rsidRPr="00D16B79">
        <w:rPr>
          <w:rFonts w:ascii="Times New Roman" w:eastAsia="Calibri" w:hAnsi="Times New Roman"/>
          <w:lang w:val="en-US" w:eastAsia="en-US"/>
        </w:rPr>
        <w:t xml:space="preserve">, </w:t>
      </w:r>
      <w:r w:rsidR="00093040" w:rsidRPr="00D16B79">
        <w:rPr>
          <w:rFonts w:ascii="Times New Roman" w:eastAsia="Calibri" w:hAnsi="Times New Roman"/>
          <w:i/>
          <w:iCs/>
          <w:lang w:val="en-US" w:eastAsia="en-US"/>
        </w:rPr>
        <w:t>p</w:t>
      </w:r>
      <w:r w:rsidR="00093040" w:rsidRPr="00D16B79">
        <w:rPr>
          <w:rFonts w:ascii="Times New Roman" w:eastAsia="Calibri" w:hAnsi="Times New Roman"/>
          <w:lang w:val="en-US" w:eastAsia="en-US"/>
        </w:rPr>
        <w:t xml:space="preserve"> &lt; .001</w:t>
      </w:r>
      <w:r w:rsidR="006635B3" w:rsidRPr="00DA076F">
        <w:rPr>
          <w:rFonts w:ascii="Times New Roman" w:eastAsia="Calibri" w:hAnsi="Times New Roman" w:cs="Calibri"/>
          <w:lang w:val="en-US" w:eastAsia="en-US"/>
        </w:rPr>
        <w:t>.</w:t>
      </w:r>
      <w:r w:rsidR="00CC422D" w:rsidRPr="00DA076F">
        <w:rPr>
          <w:rFonts w:ascii="Times New Roman" w:eastAsia="Calibri" w:hAnsi="Times New Roman" w:cs="Calibri"/>
          <w:lang w:val="en-US" w:eastAsia="en-US"/>
        </w:rPr>
        <w:t xml:space="preserve"> </w:t>
      </w:r>
      <w:r w:rsidR="00817125" w:rsidRPr="00DA076F">
        <w:rPr>
          <w:rFonts w:ascii="Times New Roman" w:eastAsia="Calibri" w:hAnsi="Times New Roman" w:cs="Calibri"/>
          <w:lang w:val="en-US" w:eastAsia="en-US"/>
        </w:rPr>
        <w:t>This indicates that participants were more likely to mention need spontaneously as a reason for their donation decision in joint over separate evaluation</w:t>
      </w:r>
      <w:r w:rsidR="00EA5908" w:rsidRPr="00D16B79">
        <w:rPr>
          <w:rFonts w:ascii="Times New Roman" w:eastAsia="Calibri" w:hAnsi="Times New Roman" w:cs="Calibri"/>
          <w:lang w:val="en-US" w:eastAsia="en-US"/>
        </w:rPr>
        <w:t>.</w:t>
      </w:r>
      <w:r w:rsidR="00CC422D" w:rsidRPr="00D16B79">
        <w:rPr>
          <w:rFonts w:ascii="Times New Roman" w:eastAsia="Calibri" w:hAnsi="Times New Roman" w:cs="Calibri"/>
          <w:lang w:val="en-US" w:eastAsia="en-US"/>
        </w:rPr>
        <w:t xml:space="preserve"> </w:t>
      </w:r>
      <w:r w:rsidR="00E958E5">
        <w:rPr>
          <w:rFonts w:ascii="Times New Roman" w:eastAsia="Calibri" w:hAnsi="Times New Roman" w:cs="Calibri"/>
          <w:lang w:val="en-US" w:eastAsia="en-US"/>
        </w:rPr>
        <w:t xml:space="preserve">We repeated this analysis by giving the same instructions to ChatGPT </w:t>
      </w:r>
      <w:r w:rsidR="00606C6B">
        <w:rPr>
          <w:rFonts w:ascii="Times New Roman" w:eastAsia="Calibri" w:hAnsi="Times New Roman" w:cs="Calibri"/>
          <w:lang w:val="en-US" w:eastAsia="en-US"/>
        </w:rPr>
        <w:t xml:space="preserve">3.5 </w:t>
      </w:r>
      <w:r w:rsidR="00E958E5">
        <w:rPr>
          <w:rFonts w:ascii="Times New Roman" w:eastAsia="Calibri" w:hAnsi="Times New Roman" w:cs="Calibri"/>
          <w:lang w:val="en-US" w:eastAsia="en-US"/>
        </w:rPr>
        <w:t>following the method outlined in Rathje et al. 2023.</w:t>
      </w:r>
      <w:r w:rsidR="00971651">
        <w:rPr>
          <w:rFonts w:ascii="Times New Roman" w:eastAsia="Calibri" w:hAnsi="Times New Roman" w:cs="Calibri"/>
          <w:lang w:val="en-US" w:eastAsia="en-US"/>
        </w:rPr>
        <w:t xml:space="preserve"> </w:t>
      </w:r>
      <w:r w:rsidR="00606C6B">
        <w:rPr>
          <w:rFonts w:ascii="Times New Roman" w:eastAsia="Calibri" w:hAnsi="Times New Roman" w:cs="Calibri"/>
          <w:lang w:val="en-US" w:eastAsia="en-US"/>
        </w:rPr>
        <w:t>Chat</w:t>
      </w:r>
      <w:r w:rsidR="00971651">
        <w:rPr>
          <w:rFonts w:ascii="Times New Roman" w:eastAsia="Calibri" w:hAnsi="Times New Roman" w:cs="Calibri"/>
          <w:lang w:val="en-US" w:eastAsia="en-US"/>
        </w:rPr>
        <w:t xml:space="preserve">GPT </w:t>
      </w:r>
      <w:r w:rsidR="00606C6B">
        <w:rPr>
          <w:rFonts w:ascii="Times New Roman" w:eastAsia="Calibri" w:hAnsi="Times New Roman" w:cs="Calibri"/>
          <w:lang w:val="en-US" w:eastAsia="en-US"/>
        </w:rPr>
        <w:t xml:space="preserve">3.5 </w:t>
      </w:r>
      <w:r w:rsidR="00971651">
        <w:rPr>
          <w:rFonts w:ascii="Times New Roman" w:eastAsia="Calibri" w:hAnsi="Times New Roman" w:cs="Calibri"/>
          <w:lang w:val="en-US" w:eastAsia="en-US"/>
        </w:rPr>
        <w:t>had an accuracy of 8</w:t>
      </w:r>
      <w:r w:rsidR="009428F1">
        <w:rPr>
          <w:rFonts w:ascii="Times New Roman" w:eastAsia="Calibri" w:hAnsi="Times New Roman" w:cs="Calibri"/>
          <w:lang w:val="en-US" w:eastAsia="en-US"/>
        </w:rPr>
        <w:t>1</w:t>
      </w:r>
      <w:r w:rsidR="00971651">
        <w:rPr>
          <w:rFonts w:ascii="Times New Roman" w:eastAsia="Calibri" w:hAnsi="Times New Roman" w:cs="Calibri"/>
          <w:lang w:val="en-US" w:eastAsia="en-US"/>
        </w:rPr>
        <w:t>%</w:t>
      </w:r>
      <w:r w:rsidR="000B50DC">
        <w:rPr>
          <w:rFonts w:ascii="Times New Roman" w:eastAsia="Calibri" w:hAnsi="Times New Roman" w:cs="Calibri"/>
          <w:lang w:val="en-US" w:eastAsia="en-US"/>
        </w:rPr>
        <w:t xml:space="preserve"> when compared to the human coders</w:t>
      </w:r>
      <w:r w:rsidR="00C34DCB">
        <w:rPr>
          <w:rFonts w:ascii="Times New Roman" w:eastAsia="Calibri" w:hAnsi="Times New Roman" w:cs="Calibri"/>
          <w:lang w:val="en-US" w:eastAsia="en-US"/>
        </w:rPr>
        <w:t xml:space="preserve"> and determined that 54% of participants mentioned need in joint evaluation as opposed to 31% and 34% in separate evaluation far and close</w:t>
      </w:r>
      <w:r w:rsidR="000B50DC">
        <w:rPr>
          <w:rFonts w:ascii="Times New Roman" w:eastAsia="Calibri" w:hAnsi="Times New Roman" w:cs="Calibri"/>
          <w:lang w:val="en-US" w:eastAsia="en-US"/>
        </w:rPr>
        <w:t>.</w:t>
      </w:r>
      <w:r w:rsidR="00E958E5">
        <w:rPr>
          <w:rFonts w:ascii="Times New Roman" w:eastAsia="Calibri" w:hAnsi="Times New Roman" w:cs="Calibri"/>
          <w:lang w:val="en-US" w:eastAsia="en-US"/>
        </w:rPr>
        <w:t xml:space="preserve"> </w:t>
      </w:r>
      <w:r w:rsidR="00CC422D" w:rsidRPr="00D16B79">
        <w:rPr>
          <w:rFonts w:ascii="Times New Roman" w:eastAsia="Calibri" w:hAnsi="Times New Roman" w:cs="Calibri"/>
          <w:lang w:val="en-US" w:eastAsia="en-US"/>
        </w:rPr>
        <w:t>We present detailed results of this analysis including</w:t>
      </w:r>
      <w:r w:rsidR="00860CCD">
        <w:rPr>
          <w:rFonts w:ascii="Times New Roman" w:eastAsia="Calibri" w:hAnsi="Times New Roman" w:cs="Calibri"/>
          <w:lang w:val="en-US" w:eastAsia="en-US"/>
        </w:rPr>
        <w:t xml:space="preserve"> results for additional codes,</w:t>
      </w:r>
      <w:r w:rsidR="00CC422D" w:rsidRPr="00D16B79">
        <w:rPr>
          <w:rFonts w:ascii="Times New Roman" w:eastAsia="Calibri" w:hAnsi="Times New Roman" w:cs="Calibri"/>
          <w:lang w:val="en-US" w:eastAsia="en-US"/>
        </w:rPr>
        <w:t xml:space="preserve"> the codebook, sample responses, and summary tables in the Web Appendix.</w:t>
      </w:r>
    </w:p>
    <w:p w14:paraId="6DE5AA52" w14:textId="77777777" w:rsidR="001443D7" w:rsidRPr="00D16B79" w:rsidRDefault="001443D7" w:rsidP="00F7539C">
      <w:pPr>
        <w:spacing w:line="480" w:lineRule="auto"/>
        <w:rPr>
          <w:lang w:val="en-US"/>
        </w:rPr>
      </w:pPr>
      <w:bookmarkStart w:id="13" w:name="_Hlk156590366"/>
    </w:p>
    <w:p w14:paraId="7794080D" w14:textId="0F1EF411" w:rsidR="00954FA9" w:rsidRPr="00D16B79" w:rsidRDefault="00CD282B" w:rsidP="00D87751">
      <w:pPr>
        <w:pStyle w:val="Caption"/>
        <w:keepNext/>
        <w:spacing w:line="240" w:lineRule="auto"/>
        <w:ind w:firstLine="0"/>
        <w:rPr>
          <w:rFonts w:ascii="Times New Roman" w:eastAsia="Calibri" w:hAnsi="Times New Roman" w:cs="Calibri"/>
          <w:b w:val="0"/>
          <w:lang w:eastAsia="en-US"/>
        </w:rPr>
      </w:pPr>
      <w:bookmarkStart w:id="14" w:name="_Hlk156590285"/>
      <w:r w:rsidRPr="00D16B79">
        <w:rPr>
          <w:b w:val="0"/>
        </w:rPr>
        <w:t xml:space="preserve">Figure </w:t>
      </w:r>
      <w:r w:rsidR="00D87751" w:rsidRPr="00D16B79">
        <w:rPr>
          <w:b w:val="0"/>
        </w:rPr>
        <w:t xml:space="preserve">2: </w:t>
      </w:r>
      <w:r w:rsidR="00F575A0" w:rsidRPr="00D16B79">
        <w:rPr>
          <w:rFonts w:ascii="Times New Roman" w:eastAsia="Calibri" w:hAnsi="Times New Roman" w:cs="Calibri"/>
          <w:b w:val="0"/>
          <w:lang w:eastAsia="en-US"/>
        </w:rPr>
        <w:t xml:space="preserve">MEDIATION OF </w:t>
      </w:r>
      <w:r w:rsidR="00F905C1" w:rsidRPr="00D16B79">
        <w:rPr>
          <w:rFonts w:ascii="Times New Roman" w:eastAsia="Calibri" w:hAnsi="Times New Roman" w:cs="Calibri"/>
          <w:b w:val="0"/>
          <w:lang w:eastAsia="en-US"/>
        </w:rPr>
        <w:t>JE VS</w:t>
      </w:r>
      <w:r w:rsidR="0046041A" w:rsidRPr="00D16B79">
        <w:rPr>
          <w:rFonts w:ascii="Times New Roman" w:eastAsia="Calibri" w:hAnsi="Times New Roman" w:cs="Calibri"/>
          <w:b w:val="0"/>
          <w:lang w:eastAsia="en-US"/>
        </w:rPr>
        <w:t>.</w:t>
      </w:r>
      <w:r w:rsidR="00F905C1" w:rsidRPr="00D16B79">
        <w:rPr>
          <w:rFonts w:ascii="Times New Roman" w:eastAsia="Calibri" w:hAnsi="Times New Roman" w:cs="Calibri"/>
          <w:b w:val="0"/>
          <w:lang w:eastAsia="en-US"/>
        </w:rPr>
        <w:t xml:space="preserve"> SE</w:t>
      </w:r>
      <w:r w:rsidR="00F575A0" w:rsidRPr="00D16B79">
        <w:rPr>
          <w:rFonts w:ascii="Times New Roman" w:eastAsia="Calibri" w:hAnsi="Times New Roman" w:cs="Calibri"/>
          <w:b w:val="0"/>
          <w:lang w:eastAsia="en-US"/>
        </w:rPr>
        <w:t xml:space="preserve"> ON DONATIONS THROUGH PERCEIVED NEED</w:t>
      </w:r>
      <w:r w:rsidR="000F2BE0" w:rsidRPr="00D16B79">
        <w:rPr>
          <w:rFonts w:ascii="Times New Roman" w:eastAsia="Calibri" w:hAnsi="Times New Roman" w:cs="Calibri"/>
          <w:b w:val="0"/>
          <w:lang w:eastAsia="en-US"/>
        </w:rPr>
        <w:t xml:space="preserve"> IN STUDY </w:t>
      </w:r>
      <w:r w:rsidR="00E46394" w:rsidRPr="00D16B79">
        <w:rPr>
          <w:rFonts w:ascii="Times New Roman" w:eastAsia="Calibri" w:hAnsi="Times New Roman" w:cs="Calibri"/>
          <w:b w:val="0"/>
          <w:lang w:eastAsia="en-US"/>
        </w:rPr>
        <w:t>1</w:t>
      </w:r>
    </w:p>
    <w:p w14:paraId="6D066DA4" w14:textId="39EA76B1" w:rsidR="0089067C" w:rsidRPr="00D16B79" w:rsidRDefault="0089067C" w:rsidP="00AF7A0A">
      <w:pPr>
        <w:spacing w:after="200" w:line="480" w:lineRule="auto"/>
        <w:jc w:val="center"/>
        <w:rPr>
          <w:rFonts w:ascii="Cambria" w:eastAsia="Calibri" w:hAnsi="Cambria" w:cs="Cambria"/>
          <w:sz w:val="16"/>
          <w:szCs w:val="16"/>
          <w:lang w:val="en-US"/>
        </w:rPr>
      </w:pPr>
      <w:bookmarkStart w:id="15" w:name="_Hlk156590341"/>
      <w:r w:rsidRPr="00D16B79">
        <w:rPr>
          <w:rFonts w:ascii="Times New Roman" w:eastAsia="Calibri" w:hAnsi="Times New Roman"/>
          <w:noProof/>
          <w:lang w:val="en-US"/>
        </w:rPr>
        <mc:AlternateContent>
          <mc:Choice Requires="wps">
            <w:drawing>
              <wp:anchor distT="0" distB="0" distL="114300" distR="114300" simplePos="0" relativeHeight="251708928" behindDoc="0" locked="0" layoutInCell="1" allowOverlap="1" wp14:anchorId="165736DA" wp14:editId="2131B144">
                <wp:simplePos x="0" y="0"/>
                <wp:positionH relativeFrom="column">
                  <wp:posOffset>20073</wp:posOffset>
                </wp:positionH>
                <wp:positionV relativeFrom="paragraph">
                  <wp:posOffset>9373</wp:posOffset>
                </wp:positionV>
                <wp:extent cx="828675" cy="59499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594995"/>
                        </a:xfrm>
                        <a:prstGeom prst="rect">
                          <a:avLst/>
                        </a:prstGeom>
                        <a:noFill/>
                        <a:ln>
                          <a:noFill/>
                        </a:ln>
                        <a:effectLst/>
                        <a:extLst>
                          <a:ext uri="{909E8E84-426E-40DD-AFC4-6F175D3DCCD1}">
                            <a14:hiddenFill xmlns:a14="http://schemas.microsoft.com/office/drawing/2010/main">
                              <a:solidFill>
                                <a:srgbClr val="07376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B2A1A2" w14:textId="77777777" w:rsidR="008A4C73" w:rsidRPr="00085E16" w:rsidRDefault="008A4C73" w:rsidP="0089067C">
                            <w:pPr>
                              <w:tabs>
                                <w:tab w:val="left" w:pos="2640"/>
                              </w:tabs>
                              <w:kinsoku w:val="0"/>
                              <w:overflowPunct w:val="0"/>
                              <w:spacing w:line="276" w:lineRule="auto"/>
                              <w:textAlignment w:val="baseline"/>
                              <w:rPr>
                                <w:rFonts w:ascii="Times New Roman" w:hAnsi="Times New Roman"/>
                                <w:sz w:val="20"/>
                                <w:szCs w:val="20"/>
                              </w:rPr>
                            </w:pPr>
                            <w:r w:rsidRPr="00085E16">
                              <w:rPr>
                                <w:rFonts w:ascii="Times New Roman" w:eastAsia="Calibri" w:hAnsi="Times New Roman"/>
                                <w:color w:val="000000"/>
                                <w:kern w:val="24"/>
                                <w:sz w:val="20"/>
                                <w:szCs w:val="20"/>
                              </w:rPr>
                              <w:t xml:space="preserve">*  </w:t>
                            </w:r>
                            <w:r w:rsidRPr="0018527D">
                              <w:rPr>
                                <w:rFonts w:ascii="Times New Roman" w:eastAsia="Calibri" w:hAnsi="Times New Roman"/>
                                <w:i/>
                                <w:iCs/>
                                <w:color w:val="000000"/>
                                <w:kern w:val="24"/>
                                <w:sz w:val="20"/>
                                <w:szCs w:val="20"/>
                              </w:rPr>
                              <w:t>p</w:t>
                            </w:r>
                            <w:r w:rsidRPr="00085E16">
                              <w:rPr>
                                <w:rFonts w:ascii="Times New Roman" w:eastAsia="Calibri" w:hAnsi="Times New Roman"/>
                                <w:color w:val="000000"/>
                                <w:kern w:val="24"/>
                                <w:sz w:val="20"/>
                                <w:szCs w:val="20"/>
                              </w:rPr>
                              <w:t xml:space="preserve"> &lt; .05</w:t>
                            </w:r>
                          </w:p>
                          <w:p w14:paraId="40EFAEB3" w14:textId="77777777" w:rsidR="008A4C73" w:rsidRPr="00085E16" w:rsidRDefault="008A4C73" w:rsidP="0089067C">
                            <w:pPr>
                              <w:tabs>
                                <w:tab w:val="left" w:pos="2640"/>
                              </w:tabs>
                              <w:kinsoku w:val="0"/>
                              <w:overflowPunct w:val="0"/>
                              <w:spacing w:line="276" w:lineRule="auto"/>
                              <w:textAlignment w:val="baseline"/>
                              <w:rPr>
                                <w:rFonts w:ascii="Times New Roman" w:hAnsi="Times New Roman"/>
                                <w:sz w:val="20"/>
                                <w:szCs w:val="20"/>
                              </w:rPr>
                            </w:pPr>
                            <w:r w:rsidRPr="00085E16">
                              <w:rPr>
                                <w:rFonts w:ascii="Times New Roman" w:eastAsia="Calibri" w:hAnsi="Times New Roman"/>
                                <w:color w:val="000000"/>
                                <w:kern w:val="24"/>
                                <w:sz w:val="20"/>
                                <w:szCs w:val="20"/>
                              </w:rPr>
                              <w:t xml:space="preserve">** </w:t>
                            </w:r>
                            <w:r w:rsidRPr="0018527D">
                              <w:rPr>
                                <w:rFonts w:ascii="Times New Roman" w:eastAsia="Calibri" w:hAnsi="Times New Roman"/>
                                <w:i/>
                                <w:iCs/>
                                <w:color w:val="000000"/>
                                <w:kern w:val="24"/>
                                <w:sz w:val="20"/>
                                <w:szCs w:val="20"/>
                              </w:rPr>
                              <w:t xml:space="preserve">p </w:t>
                            </w:r>
                            <w:r w:rsidRPr="00085E16">
                              <w:rPr>
                                <w:rFonts w:ascii="Times New Roman" w:eastAsia="Calibri" w:hAnsi="Times New Roman"/>
                                <w:color w:val="000000"/>
                                <w:kern w:val="24"/>
                                <w:sz w:val="20"/>
                                <w:szCs w:val="20"/>
                              </w:rPr>
                              <w:t>&lt; .01</w:t>
                            </w:r>
                          </w:p>
                          <w:p w14:paraId="460DE39E" w14:textId="77777777" w:rsidR="008A4C73" w:rsidRPr="00085E16" w:rsidRDefault="008A4C73" w:rsidP="0089067C">
                            <w:pPr>
                              <w:tabs>
                                <w:tab w:val="left" w:pos="2640"/>
                              </w:tabs>
                              <w:kinsoku w:val="0"/>
                              <w:overflowPunct w:val="0"/>
                              <w:spacing w:line="276" w:lineRule="auto"/>
                              <w:textAlignment w:val="baseline"/>
                              <w:rPr>
                                <w:rFonts w:ascii="Times New Roman" w:hAnsi="Times New Roman"/>
                              </w:rPr>
                            </w:pPr>
                            <w:r w:rsidRPr="00085E16">
                              <w:rPr>
                                <w:rFonts w:ascii="Times New Roman" w:eastAsia="Calibri" w:hAnsi="Times New Roman"/>
                                <w:color w:val="000000"/>
                                <w:kern w:val="24"/>
                                <w:sz w:val="20"/>
                                <w:szCs w:val="20"/>
                              </w:rPr>
                              <w:t xml:space="preserve">*** </w:t>
                            </w:r>
                            <w:r w:rsidRPr="0018527D">
                              <w:rPr>
                                <w:rFonts w:ascii="Times New Roman" w:eastAsia="Calibri" w:hAnsi="Times New Roman"/>
                                <w:i/>
                                <w:iCs/>
                                <w:color w:val="000000"/>
                                <w:kern w:val="24"/>
                                <w:sz w:val="20"/>
                                <w:szCs w:val="20"/>
                              </w:rPr>
                              <w:t>p</w:t>
                            </w:r>
                            <w:r w:rsidRPr="00085E16">
                              <w:rPr>
                                <w:rFonts w:ascii="Times New Roman" w:eastAsia="Calibri" w:hAnsi="Times New Roman"/>
                                <w:color w:val="000000"/>
                                <w:kern w:val="24"/>
                                <w:sz w:val="20"/>
                                <w:szCs w:val="20"/>
                              </w:rPr>
                              <w:t xml:space="preserve"> &lt; .001</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165736DA" id="Rectangle 12" o:spid="_x0000_s1026" style="position:absolute;left:0;text-align:left;margin-left:1.6pt;margin-top:.75pt;width:65.25pt;height:46.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G53gEAAKYDAAAOAAAAZHJzL2Uyb0RvYy54bWysU9tu2zAMfR+wfxD0vjgOkjYx4hRFiwwD&#10;ugvQ7QMUWb5gtqiRSuzs60fJSZq1b8NeBJEUD8nDo/Xd0LXiYJAasLlMJ1MpjNVQNLbK5Y/v2w9L&#10;KcgrW6gWrMnl0ZC827x/t+5dZmZQQ1sYFAxiKetdLmvvXZYkpGvTKZqAM5aDJWCnPJtYJQWqntG7&#10;NplNpzdJD1g4BG2I2Ps4BuUm4pel0f5rWZLxos0l9+bjifHchTPZrFVWoXJ1o09tqH/oolON5aIX&#10;qEflldhj8waqazQCQeknGroEyrLRJs7A06TTV9M818qZOAuTQ+5CE/0/WP3l8Oy+YWid3BPonyQs&#10;PNTKVuYeEfraqILLpYGopHeUXRKCQZwqdv1nKHi1au8hcjCU2AVAnk4MkerjhWozeKHZuZwtb24X&#10;UmgOLVbz1WoRK6jsnOyQ/EcDnQiXXCJvMoKrwxP50IzKzk9CLQvbpm3jNlv7l4Mfjh4T5XDKPncf&#10;hEKZH3YD54brDoojD4UwSoWlzZca8LcUPcskl/Rrr9BI0X6yTMwqnc+DrqIxX9zO2MDryO46oqxm&#10;qFxqj1KMxoMf1bh32FQ110rjmOTumc5tE0d96eu0BBZDZOAk3KC2azu+evlemz8AAAD//wMAUEsD&#10;BBQABgAIAAAAIQAMgqll2wAAAAYBAAAPAAAAZHJzL2Rvd25yZXYueG1sTI69TsMwFIV3JN7BupXY&#10;qNOEQglxqgqJAXWoCAyMbnxJIuJrK3bSlKfndoLx/Oicr9jOthcTDqFzpGC1TEAg1c501Cj4eH+5&#10;3YAIUZPRvSNUcMYA2/L6qtC5cSd6w6mKjeARCrlW0MbocylD3aLVYek8EmdfbrA6shwaaQZ94nHb&#10;yzRJ7qXVHfFDqz0+t1h/V6NV0PjxZ/958Ma8TndWVn4Tzrug1M1i3j2BiDjHvzJc8BkdSmY6upFM&#10;EL2CLOUi22sQlzTLHkAcFTyuU5BlIf/jl78AAAD//wMAUEsBAi0AFAAGAAgAAAAhALaDOJL+AAAA&#10;4QEAABMAAAAAAAAAAAAAAAAAAAAAAFtDb250ZW50X1R5cGVzXS54bWxQSwECLQAUAAYACAAAACEA&#10;OP0h/9YAAACUAQAACwAAAAAAAAAAAAAAAAAvAQAAX3JlbHMvLnJlbHNQSwECLQAUAAYACAAAACEA&#10;Selhud4BAACmAwAADgAAAAAAAAAAAAAAAAAuAgAAZHJzL2Uyb0RvYy54bWxQSwECLQAUAAYACAAA&#10;ACEADIKpZdsAAAAGAQAADwAAAAAAAAAAAAAAAAA4BAAAZHJzL2Rvd25yZXYueG1sUEsFBgAAAAAE&#10;AAQA8wAAAEAFAAAAAA==&#10;" filled="f" fillcolor="#073763" stroked="f">
                <v:textbox style="mso-fit-shape-to-text:t">
                  <w:txbxContent>
                    <w:p w14:paraId="55B2A1A2" w14:textId="77777777" w:rsidR="008A4C73" w:rsidRPr="00085E16" w:rsidRDefault="008A4C73" w:rsidP="0089067C">
                      <w:pPr>
                        <w:tabs>
                          <w:tab w:val="left" w:pos="2640"/>
                        </w:tabs>
                        <w:kinsoku w:val="0"/>
                        <w:overflowPunct w:val="0"/>
                        <w:spacing w:line="276" w:lineRule="auto"/>
                        <w:textAlignment w:val="baseline"/>
                        <w:rPr>
                          <w:rFonts w:ascii="Times New Roman" w:hAnsi="Times New Roman"/>
                          <w:sz w:val="20"/>
                          <w:szCs w:val="20"/>
                        </w:rPr>
                      </w:pPr>
                      <w:r w:rsidRPr="00085E16">
                        <w:rPr>
                          <w:rFonts w:ascii="Times New Roman" w:eastAsia="Calibri" w:hAnsi="Times New Roman"/>
                          <w:color w:val="000000"/>
                          <w:kern w:val="24"/>
                          <w:sz w:val="20"/>
                          <w:szCs w:val="20"/>
                        </w:rPr>
                        <w:t xml:space="preserve">*  </w:t>
                      </w:r>
                      <w:r w:rsidRPr="0018527D">
                        <w:rPr>
                          <w:rFonts w:ascii="Times New Roman" w:eastAsia="Calibri" w:hAnsi="Times New Roman"/>
                          <w:i/>
                          <w:iCs/>
                          <w:color w:val="000000"/>
                          <w:kern w:val="24"/>
                          <w:sz w:val="20"/>
                          <w:szCs w:val="20"/>
                        </w:rPr>
                        <w:t>p</w:t>
                      </w:r>
                      <w:r w:rsidRPr="00085E16">
                        <w:rPr>
                          <w:rFonts w:ascii="Times New Roman" w:eastAsia="Calibri" w:hAnsi="Times New Roman"/>
                          <w:color w:val="000000"/>
                          <w:kern w:val="24"/>
                          <w:sz w:val="20"/>
                          <w:szCs w:val="20"/>
                        </w:rPr>
                        <w:t xml:space="preserve"> &lt; .05</w:t>
                      </w:r>
                    </w:p>
                    <w:p w14:paraId="40EFAEB3" w14:textId="77777777" w:rsidR="008A4C73" w:rsidRPr="00085E16" w:rsidRDefault="008A4C73" w:rsidP="0089067C">
                      <w:pPr>
                        <w:tabs>
                          <w:tab w:val="left" w:pos="2640"/>
                        </w:tabs>
                        <w:kinsoku w:val="0"/>
                        <w:overflowPunct w:val="0"/>
                        <w:spacing w:line="276" w:lineRule="auto"/>
                        <w:textAlignment w:val="baseline"/>
                        <w:rPr>
                          <w:rFonts w:ascii="Times New Roman" w:hAnsi="Times New Roman"/>
                          <w:sz w:val="20"/>
                          <w:szCs w:val="20"/>
                        </w:rPr>
                      </w:pPr>
                      <w:r w:rsidRPr="00085E16">
                        <w:rPr>
                          <w:rFonts w:ascii="Times New Roman" w:eastAsia="Calibri" w:hAnsi="Times New Roman"/>
                          <w:color w:val="000000"/>
                          <w:kern w:val="24"/>
                          <w:sz w:val="20"/>
                          <w:szCs w:val="20"/>
                        </w:rPr>
                        <w:t xml:space="preserve">** </w:t>
                      </w:r>
                      <w:r w:rsidRPr="0018527D">
                        <w:rPr>
                          <w:rFonts w:ascii="Times New Roman" w:eastAsia="Calibri" w:hAnsi="Times New Roman"/>
                          <w:i/>
                          <w:iCs/>
                          <w:color w:val="000000"/>
                          <w:kern w:val="24"/>
                          <w:sz w:val="20"/>
                          <w:szCs w:val="20"/>
                        </w:rPr>
                        <w:t xml:space="preserve">p </w:t>
                      </w:r>
                      <w:r w:rsidRPr="00085E16">
                        <w:rPr>
                          <w:rFonts w:ascii="Times New Roman" w:eastAsia="Calibri" w:hAnsi="Times New Roman"/>
                          <w:color w:val="000000"/>
                          <w:kern w:val="24"/>
                          <w:sz w:val="20"/>
                          <w:szCs w:val="20"/>
                        </w:rPr>
                        <w:t>&lt; .01</w:t>
                      </w:r>
                    </w:p>
                    <w:p w14:paraId="460DE39E" w14:textId="77777777" w:rsidR="008A4C73" w:rsidRPr="00085E16" w:rsidRDefault="008A4C73" w:rsidP="0089067C">
                      <w:pPr>
                        <w:tabs>
                          <w:tab w:val="left" w:pos="2640"/>
                        </w:tabs>
                        <w:kinsoku w:val="0"/>
                        <w:overflowPunct w:val="0"/>
                        <w:spacing w:line="276" w:lineRule="auto"/>
                        <w:textAlignment w:val="baseline"/>
                        <w:rPr>
                          <w:rFonts w:ascii="Times New Roman" w:hAnsi="Times New Roman"/>
                        </w:rPr>
                      </w:pPr>
                      <w:r w:rsidRPr="00085E16">
                        <w:rPr>
                          <w:rFonts w:ascii="Times New Roman" w:eastAsia="Calibri" w:hAnsi="Times New Roman"/>
                          <w:color w:val="000000"/>
                          <w:kern w:val="24"/>
                          <w:sz w:val="20"/>
                          <w:szCs w:val="20"/>
                        </w:rPr>
                        <w:t xml:space="preserve">*** </w:t>
                      </w:r>
                      <w:r w:rsidRPr="0018527D">
                        <w:rPr>
                          <w:rFonts w:ascii="Times New Roman" w:eastAsia="Calibri" w:hAnsi="Times New Roman"/>
                          <w:i/>
                          <w:iCs/>
                          <w:color w:val="000000"/>
                          <w:kern w:val="24"/>
                          <w:sz w:val="20"/>
                          <w:szCs w:val="20"/>
                        </w:rPr>
                        <w:t>p</w:t>
                      </w:r>
                      <w:r w:rsidRPr="00085E16">
                        <w:rPr>
                          <w:rFonts w:ascii="Times New Roman" w:eastAsia="Calibri" w:hAnsi="Times New Roman"/>
                          <w:color w:val="000000"/>
                          <w:kern w:val="24"/>
                          <w:sz w:val="20"/>
                          <w:szCs w:val="20"/>
                        </w:rPr>
                        <w:t xml:space="preserve"> &lt; .001</w:t>
                      </w:r>
                    </w:p>
                  </w:txbxContent>
                </v:textbox>
              </v:rect>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06880" behindDoc="0" locked="0" layoutInCell="1" allowOverlap="1" wp14:anchorId="724E31B7" wp14:editId="0A6A43EA">
                <wp:simplePos x="0" y="0"/>
                <wp:positionH relativeFrom="column">
                  <wp:posOffset>2166620</wp:posOffset>
                </wp:positionH>
                <wp:positionV relativeFrom="paragraph">
                  <wp:posOffset>195861</wp:posOffset>
                </wp:positionV>
                <wp:extent cx="1498600" cy="474345"/>
                <wp:effectExtent l="0" t="0" r="25400" b="20955"/>
                <wp:wrapNone/>
                <wp:docPr id="102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8600" cy="474345"/>
                        </a:xfrm>
                        <a:prstGeom prst="rect">
                          <a:avLst/>
                        </a:prstGeom>
                        <a:solidFill>
                          <a:srgbClr val="FFFFFF"/>
                        </a:solidFill>
                        <a:ln w="9525">
                          <a:solidFill>
                            <a:srgbClr val="000000"/>
                          </a:solidFill>
                          <a:miter lim="800000"/>
                          <a:headEnd/>
                          <a:tailEnd/>
                        </a:ln>
                      </wps:spPr>
                      <wps:txbx>
                        <w:txbxContent>
                          <w:p w14:paraId="1DE1EF08" w14:textId="77777777" w:rsidR="008A4C73" w:rsidRPr="00085E16" w:rsidRDefault="008A4C73" w:rsidP="0089067C">
                            <w:pPr>
                              <w:kinsoku w:val="0"/>
                              <w:overflowPunct w:val="0"/>
                              <w:jc w:val="center"/>
                              <w:textAlignment w:val="baseline"/>
                              <w:rPr>
                                <w:rFonts w:ascii="Times New Roman" w:hAnsi="Times New Roman"/>
                              </w:rPr>
                            </w:pPr>
                            <w:r w:rsidRPr="00085E16">
                              <w:rPr>
                                <w:rFonts w:ascii="Times New Roman" w:eastAsia="Calibri" w:hAnsi="Times New Roman"/>
                                <w:color w:val="000000"/>
                                <w:kern w:val="24"/>
                                <w:lang w:val="en-US"/>
                              </w:rPr>
                              <w:t>Perceptions of Need</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724E31B7" id="_x0000_t202" coordsize="21600,21600" o:spt="202" path="m,l,21600r21600,l21600,xe">
                <v:stroke joinstyle="miter"/>
                <v:path gradientshapeok="t" o:connecttype="rect"/>
              </v:shapetype>
              <v:shape id="Text Box 1024" o:spid="_x0000_s1027" type="#_x0000_t202" style="position:absolute;left:0;text-align:left;margin-left:170.6pt;margin-top:15.4pt;width:118pt;height:37.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83HgIAAE4EAAAOAAAAZHJzL2Uyb0RvYy54bWysVMGO0zAUvCPxD5bvNGlJd9uo6Up0KUIq&#10;C1IXcX5xnMbCsY3tNlm+nmcnLWWBCyIHy69vMvHMPHd117eSnLh1QquCTicpJVwxXQl1KOjnx+2r&#10;BSXOg6pAasUL+sQdvVu/fLHqTM5nutGy4pYgiXJ5ZwraeG/yJHGs4S24iTZcYbPWtgWPpT0klYUO&#10;2VuZzNL0Jum0rYzVjDuHv94PTbqO/HXNmf9Y1457IguKZ/NxtXEtw5qsV5AfLJhGsPEY8A+naEEo&#10;/OiF6h48kKMVv1G1glntdO0nTLeJrmvBeNSAaqbpMzX7BgyPWtAcZy42uf9Hyx5Oe/PJEt+/0T0G&#10;GEU4s9Psq0Nvks64fMQET13uArrsPugK04Sj1/GNvrZtkI+CCNKg008Xd3nvCQvc2XJxk2KLYS+7&#10;zV5n82B/Avn5bWOdf8d1S8KmoBbTi+xw2jk/QM+Q8DGnpai2QspY2EO5kZacAJPexmdk/wUmFekK&#10;upzP5oPSv1Kk8fkTRSs8jqwUbUEXFxDkDYfqrariQHkQctijOqlGH4N1g4m+L3siquA34oOtpa6e&#10;0Fi8SSi80fY7JR1OZUHdtyNYTol8rzD25TTLwhjHIpvfzrCw153yuqOO7UajHVNKQDFkLag/bzd+&#10;uAU4hgb8Tu0NO8cfPH7sv4A1YxAeI3zQ52mE/FkeA3YUOQgZCxzaGPB4wcKtuK4j6uffwPoHAAAA&#10;//8DAFBLAwQUAAYACAAAACEA+3sDLd8AAAAKAQAADwAAAGRycy9kb3ducmV2LnhtbEyPzU7DMBCE&#10;70i8g7VI3KjdhlAU4lT8CAkhpIqmD+DG2zglXkex24a3ZznBbXfn0+xMuZp8L044xi6QhvlMgUBq&#10;gu2o1bCtX2/uQcRkyJo+EGr4xgir6vKiNIUNZ/rE0ya1gk0oFkaDS2kopIyNQ2/iLAxIrO3D6E3i&#10;dWylHc2ZzX0vF0rdSW864g/ODPjssPnaHL2Gl0O23lLnrB+yt/e6/pjytXzS+vpqenwAkXBKfzD8&#10;xufoUHGmXTiSjaLXkN3OF4zyoLgCA/lyyYcdkyrPQVal/F+h+gEAAP//AwBQSwECLQAUAAYACAAA&#10;ACEAtoM4kv4AAADhAQAAEwAAAAAAAAAAAAAAAAAAAAAAW0NvbnRlbnRfVHlwZXNdLnhtbFBLAQIt&#10;ABQABgAIAAAAIQA4/SH/1gAAAJQBAAALAAAAAAAAAAAAAAAAAC8BAABfcmVscy8ucmVsc1BLAQIt&#10;ABQABgAIAAAAIQCBeR83HgIAAE4EAAAOAAAAAAAAAAAAAAAAAC4CAABkcnMvZTJvRG9jLnhtbFBL&#10;AQItABQABgAIAAAAIQD7ewMt3wAAAAoBAAAPAAAAAAAAAAAAAAAAAHgEAABkcnMvZG93bnJldi54&#10;bWxQSwUGAAAAAAQABADzAAAAhAUAAAAA&#10;">
                <v:path arrowok="t"/>
                <v:textbox>
                  <w:txbxContent>
                    <w:p w14:paraId="1DE1EF08" w14:textId="77777777" w:rsidR="008A4C73" w:rsidRPr="00085E16" w:rsidRDefault="008A4C73" w:rsidP="0089067C">
                      <w:pPr>
                        <w:kinsoku w:val="0"/>
                        <w:overflowPunct w:val="0"/>
                        <w:jc w:val="center"/>
                        <w:textAlignment w:val="baseline"/>
                        <w:rPr>
                          <w:rFonts w:ascii="Times New Roman" w:hAnsi="Times New Roman"/>
                        </w:rPr>
                      </w:pPr>
                      <w:r w:rsidRPr="00085E16">
                        <w:rPr>
                          <w:rFonts w:ascii="Times New Roman" w:eastAsia="Calibri" w:hAnsi="Times New Roman"/>
                          <w:color w:val="000000"/>
                          <w:kern w:val="24"/>
                          <w:lang w:val="en-US"/>
                        </w:rPr>
                        <w:t>Perceptions of Need</w:t>
                      </w:r>
                    </w:p>
                  </w:txbxContent>
                </v:textbox>
              </v:shape>
            </w:pict>
          </mc:Fallback>
        </mc:AlternateContent>
      </w:r>
    </w:p>
    <w:p w14:paraId="2AA90C6A" w14:textId="77777777" w:rsidR="0089067C" w:rsidRPr="00D16B79" w:rsidRDefault="0089067C" w:rsidP="0089067C">
      <w:pPr>
        <w:spacing w:after="200" w:line="480" w:lineRule="auto"/>
        <w:rPr>
          <w:rFonts w:ascii="Cambria" w:eastAsia="Calibri" w:hAnsi="Cambria" w:cs="Cambria"/>
          <w:sz w:val="16"/>
          <w:szCs w:val="16"/>
          <w:lang w:val="en-US"/>
        </w:rPr>
      </w:pPr>
      <w:r w:rsidRPr="00D16B79">
        <w:rPr>
          <w:rFonts w:ascii="Times New Roman" w:eastAsia="Calibri" w:hAnsi="Times New Roman"/>
          <w:noProof/>
          <w:lang w:val="en-US"/>
        </w:rPr>
        <mc:AlternateContent>
          <mc:Choice Requires="wps">
            <w:drawing>
              <wp:anchor distT="0" distB="0" distL="114300" distR="114300" simplePos="0" relativeHeight="251705856" behindDoc="0" locked="0" layoutInCell="1" allowOverlap="1" wp14:anchorId="01F9BA1E" wp14:editId="29BC230E">
                <wp:simplePos x="0" y="0"/>
                <wp:positionH relativeFrom="column">
                  <wp:posOffset>3663066</wp:posOffset>
                </wp:positionH>
                <wp:positionV relativeFrom="paragraph">
                  <wp:posOffset>66321</wp:posOffset>
                </wp:positionV>
                <wp:extent cx="1525463" cy="978841"/>
                <wp:effectExtent l="0" t="0" r="55880" b="50165"/>
                <wp:wrapNone/>
                <wp:docPr id="1025" name="Straight Arrow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463" cy="9788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14CE9" id="_x0000_t32" coordsize="21600,21600" o:spt="32" o:oned="t" path="m,l21600,21600e" filled="f">
                <v:path arrowok="t" fillok="f" o:connecttype="none"/>
                <o:lock v:ext="edit" shapetype="t"/>
              </v:shapetype>
              <v:shape id="Straight Arrow Connector 1025" o:spid="_x0000_s1026" type="#_x0000_t32" style="position:absolute;margin-left:288.45pt;margin-top:5.2pt;width:120.1pt;height:77.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dwQQIAAHcEAAAOAAAAZHJzL2Uyb0RvYy54bWysVMtu2zAQvBfoPxC8O5Ic2XGE2EEg2b2k&#10;jYGkH0CTlEWU4hIkY9ko+u9d0o8m7aUoqgO1FPcxOzvU3f2+12QnnVdg5rS4yimRhoNQZjunX19W&#10;oxklPjAjmAYj5/QgPb1ffPxwN9hKjqEDLaQjmMT4arBz2oVgqyzzvJM981dgpcHDFlzPAm7dNhOO&#10;DZi919k4z6fZAE5YB1x6j1+b4yFdpPxtK3l4alsvA9FzithCWl1aN3HNFnes2jpmO8VPMNg/oOiZ&#10;Mlj0kqphgZFXp/5I1SvuwEMbrjj0GbSt4jL1gN0U+W/dPHfMytQLkuPthSb//9LyL7u1I0rg7PLx&#10;hBLDepzSc3BMbbtAHpyDgdRgDDIJjiQn5GywvsLQ2qxd7JrvzbN9BP7NEwN1x8xWJuwvB4vZishy&#10;9i4kbrzFypvhMwj0Ya8BEoH71vUxJVJD9mlOh8uc5D4Qjh+LyXhSTq8p4Xh2ezOblccSrDpHW+fD&#10;Jwk9icac+lM/l0aKVIvtHn2I2Fh1DoilDayU1kkZ2pABS2C9FOBBKxEPo5t3202tHdmxqK30pEbx&#10;5K2bg1cjUrJOMrE82YEpjTYJiaHgFHKmJY3Veiko0RKvU7SO8LSJFbF/BHyyjvL6fpvfLmfLWTkq&#10;x9PlqMybZvSwqsvRdFXcTJrrpq6b4kcEX5RVp4SQJuI/S70o/05Kp0t3FOlF7BeisvfZE6MI9vxO&#10;oJMA4syP6tmAOKxd7C5qAdWdnE83MV6ft/vk9et/sfgJAAD//wMAUEsDBBQABgAIAAAAIQAYBj29&#10;4QAAAAoBAAAPAAAAZHJzL2Rvd25yZXYueG1sTI/BTsMwDIbvSLxDZCRuLC3asq00nYAJ0cuQ2BDi&#10;mDWmiWiSqsm2jqfHnOBo/59+fy5Xo+vYEYdog5eQTzJg6JugrW8lvO2ebhbAYlJeqy54lHDGCKvq&#10;8qJUhQ4n/4rHbWoZlfhYKAkmpb7gPDYGnYqT0KOn7DMMTiUah5brQZ2o3HX8NssEd8p6umBUj48G&#10;m6/twUlI64+zEe/Nw9K+7J43wn7Xdb2W8vpqvL8DlnBMfzD86pM6VOS0DwevI+skzOZiSSgF2RQY&#10;AYt8ngPb00JMZ8Crkv9/ofoBAAD//wMAUEsBAi0AFAAGAAgAAAAhALaDOJL+AAAA4QEAABMAAAAA&#10;AAAAAAAAAAAAAAAAAFtDb250ZW50X1R5cGVzXS54bWxQSwECLQAUAAYACAAAACEAOP0h/9YAAACU&#10;AQAACwAAAAAAAAAAAAAAAAAvAQAAX3JlbHMvLnJlbHNQSwECLQAUAAYACAAAACEA2EKncEECAAB3&#10;BAAADgAAAAAAAAAAAAAAAAAuAgAAZHJzL2Uyb0RvYy54bWxQSwECLQAUAAYACAAAACEAGAY9veEA&#10;AAAKAQAADwAAAAAAAAAAAAAAAACbBAAAZHJzL2Rvd25yZXYueG1sUEsFBgAAAAAEAAQA8wAAAKkF&#10;AAAAAA==&#10;">
                <v:stroke endarrow="block"/>
              </v:shape>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03808" behindDoc="0" locked="0" layoutInCell="1" allowOverlap="1" wp14:anchorId="2F3F87A5" wp14:editId="319988A8">
                <wp:simplePos x="0" y="0"/>
                <wp:positionH relativeFrom="column">
                  <wp:posOffset>4318265</wp:posOffset>
                </wp:positionH>
                <wp:positionV relativeFrom="paragraph">
                  <wp:posOffset>257681</wp:posOffset>
                </wp:positionV>
                <wp:extent cx="1109345" cy="244475"/>
                <wp:effectExtent l="0" t="0" r="0" b="3175"/>
                <wp:wrapNone/>
                <wp:docPr id="102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9345" cy="244475"/>
                        </a:xfrm>
                        <a:prstGeom prst="rect">
                          <a:avLst/>
                        </a:prstGeom>
                        <a:noFill/>
                        <a:ln>
                          <a:noFill/>
                        </a:ln>
                      </wps:spPr>
                      <wps:txbx>
                        <w:txbxContent>
                          <w:p w14:paraId="7F9BB615"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b = 6.87***</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F3F87A5" id="Text Box 1026" o:spid="_x0000_s1028" type="#_x0000_t202" style="position:absolute;margin-left:340pt;margin-top:20.3pt;width:87.35pt;height:19.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LK5wEAAMQDAAAOAAAAZHJzL2Uyb0RvYy54bWysU8Fu2zAMvQ/YPwi6L7YzZ12NOAXWosOA&#10;rB2QDj3Tshwbs0VNUmJnXz9KtrOsvQ27CKJIP/I9Pq9vhq5lR2lsgyrnySLmTCqBZaP2Of/+dP/u&#10;I2fWgSqhRSVzfpKW32zevln3OpNLrLEtpWEEomzW65zXzuksiqyoZQd2gVoqSlZoOnAUmn1UGugJ&#10;vWujZRx/iHo0pTYopLX0ejcm+SbgV5UU7rGqrHSszTnN5sJpwln4M9qsIdsb0HUjpjHgH6booFHU&#10;9Ax1Bw7YwTSvoLpGGLRYuYXALsKqaoQMHIhNEr9gs6tBy8CFxLH6LJP9f7Di4bjT3wxzwyccaIGB&#10;hNVbFD8saRP12mZTjdfUZtZXF/1XLGmbcHAYvhgq03n6RIgRDCl9OqsrB8eEx07i6/fpijNBuWWa&#10;plcrL38E2fy1NtZ9ltgxf8m5oe0FdDhurRtL5xLfTOF907Zhg63664Ew/UuY3g88ju6GYmBNSc19&#10;X0+mwPJEdMi/1K5G84uznryQc/vzAEZy1n5RJPZ1kqbePCFIV1dLCsxlprjMqEN3i2S3hDNQglBz&#10;7ubrrRu9R8vX4LZqp8Usumf2NDyD0RN9R8I94OwByF6oMNZOJEciU0BWCbJOtvZevIxD1Z+fb/Mb&#10;AAD//wMAUEsDBBQABgAIAAAAIQAZKawg3gAAAAkBAAAPAAAAZHJzL2Rvd25yZXYueG1sTI/BTsMw&#10;EETvSP0Ha5G4UbsoTdOQTVWBuIJoCxI3N94mEfE6it0m/D3mRI+jGc28KTaT7cSFBt86RljMFQji&#10;ypmWa4TD/uU+A+GDZqM7x4TwQx425eym0LlxI7/TZRdqEUvY5xqhCaHPpfRVQ1b7ueuJo3dyg9Uh&#10;yqGWZtBjLLedfFAqlVa3HBca3dNTQ9X37mwRPl5PX5+Jequf7bIf3aQk27VEvLudto8gAk3hPwx/&#10;+BEdysh0dGc2XnQIaabil4CQqBREDGTLZAXiiLBaL0CWhbx+UP4CAAD//wMAUEsBAi0AFAAGAAgA&#10;AAAhALaDOJL+AAAA4QEAABMAAAAAAAAAAAAAAAAAAAAAAFtDb250ZW50X1R5cGVzXS54bWxQSwEC&#10;LQAUAAYACAAAACEAOP0h/9YAAACUAQAACwAAAAAAAAAAAAAAAAAvAQAAX3JlbHMvLnJlbHNQSwEC&#10;LQAUAAYACAAAACEAG43iyucBAADEAwAADgAAAAAAAAAAAAAAAAAuAgAAZHJzL2Uyb0RvYy54bWxQ&#10;SwECLQAUAAYACAAAACEAGSmsIN4AAAAJAQAADwAAAAAAAAAAAAAAAABBBAAAZHJzL2Rvd25yZXYu&#10;eG1sUEsFBgAAAAAEAAQA8wAAAEwFAAAAAA==&#10;" filled="f" stroked="f">
                <v:textbox>
                  <w:txbxContent>
                    <w:p w14:paraId="7F9BB615"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b = 6.87***</w:t>
                      </w:r>
                    </w:p>
                  </w:txbxContent>
                </v:textbox>
              </v:shape>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04832" behindDoc="0" locked="0" layoutInCell="1" allowOverlap="1" wp14:anchorId="433DBB31" wp14:editId="6A1C7430">
                <wp:simplePos x="0" y="0"/>
                <wp:positionH relativeFrom="column">
                  <wp:posOffset>967997</wp:posOffset>
                </wp:positionH>
                <wp:positionV relativeFrom="paragraph">
                  <wp:posOffset>194945</wp:posOffset>
                </wp:positionV>
                <wp:extent cx="1028700" cy="482600"/>
                <wp:effectExtent l="0" t="0" r="0" b="0"/>
                <wp:wrapNone/>
                <wp:docPr id="102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482600"/>
                        </a:xfrm>
                        <a:prstGeom prst="rect">
                          <a:avLst/>
                        </a:prstGeom>
                        <a:noFill/>
                        <a:ln>
                          <a:noFill/>
                        </a:ln>
                      </wps:spPr>
                      <wps:txbx>
                        <w:txbxContent>
                          <w:p w14:paraId="13A53BF7"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a = .57***</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33DBB31" id="Text Box 1027" o:spid="_x0000_s1029" type="#_x0000_t202" style="position:absolute;margin-left:76.2pt;margin-top:15.35pt;width:81pt;height:3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mS5gEAAMQDAAAOAAAAZHJzL2Uyb0RvYy54bWysU8Fu2zAMvQ/YPwi6L3ayrM2MOAXWosOA&#10;rB2QDj3Tshwbs0RNUmJnXz9KtrOsvQ27CKJIP/I9Pq9vetWyo7SuQZ3z+SzlTGqBZaP3Of/+dP9u&#10;xZnzoEtoUcucn6TjN5u3b9adyeQCa2xLaRmBaJd1Jue19yZLEidqqcDN0EhNyQqtAk+h3SelhY7Q&#10;VZss0vQq6dCWxqKQztHr3ZDkm4hfVVL4x6py0rM25zSbj6eNZxHOZLOGbG/B1I0Yx4B/mEJBo6np&#10;GeoOPLCDbV5BqUZYdFj5mUCVYFU1QkYOxGaevmCzq8HIyIXEceYsk/t/sOLhuDPfLPP9J+xpgZGE&#10;M1sUPxxpk3TGZWNN0NRlLlQX3VcsaZtw8Bi/6CurAn0ixAiGlD6d1ZW9ZyJgp4vVdUopQbnlanFF&#10;99ACsulrY53/LFGxcMm5pe1FdDhunR9Kp5LQTON907Zxg63+64Eww0ucPgw8jO77omdNmfP3oW8g&#10;U2B5IjrkX2pXo/3FWUdeyLn7eQArOWu/aBL743y5DOaJwfLD9YICe5kpLjP6oG6R7DbnDLQg1Jz7&#10;6XrrB+/R8g34rd4ZMYkemD31z2DNSN+TcA84eQCyFyoMtSPJgcgYkFWirKOtgxcv41j15+fb/AYA&#10;AP//AwBQSwMEFAAGAAgAAAAhAP2xSHzdAAAACgEAAA8AAABkcnMvZG93bnJldi54bWxMj81OwzAQ&#10;hO9IvIO1SNzoum3aQohTIRBXEOVH4ubG2yQiXkex24S3ZznBcXY+zc4U28l36kRDbAMbmM80KOIq&#10;uJZrA2+vj1fXoGKy7GwXmAx8U4RteX5W2NyFkV/otEu1khCOuTXQpNTniLFqyNs4Cz2xeIcweJtE&#10;DjW6wY4S7jtcaL1Gb1uWD43t6b6h6mt39Abenw6fH5l+rh/8qh/DpJH9DRpzeTHd3YJKNKU/GH7r&#10;S3UopdM+HNlF1YleLTJBDSz1BpQAy3kmh704er0BLAv8P6H8AQAA//8DAFBLAQItABQABgAIAAAA&#10;IQC2gziS/gAAAOEBAAATAAAAAAAAAAAAAAAAAAAAAABbQ29udGVudF9UeXBlc10ueG1sUEsBAi0A&#10;FAAGAAgAAAAhADj9If/WAAAAlAEAAAsAAAAAAAAAAAAAAAAALwEAAF9yZWxzLy5yZWxzUEsBAi0A&#10;FAAGAAgAAAAhAIpXSZLmAQAAxAMAAA4AAAAAAAAAAAAAAAAALgIAAGRycy9lMm9Eb2MueG1sUEsB&#10;Ai0AFAAGAAgAAAAhAP2xSHzdAAAACgEAAA8AAAAAAAAAAAAAAAAAQAQAAGRycy9kb3ducmV2Lnht&#10;bFBLBQYAAAAABAAEAPMAAABKBQAAAAA=&#10;" filled="f" stroked="f">
                <v:textbox>
                  <w:txbxContent>
                    <w:p w14:paraId="13A53BF7"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a = .57***</w:t>
                      </w:r>
                    </w:p>
                  </w:txbxContent>
                </v:textbox>
              </v:shape>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09952" behindDoc="0" locked="0" layoutInCell="1" allowOverlap="1" wp14:anchorId="54594479" wp14:editId="60A24980">
                <wp:simplePos x="0" y="0"/>
                <wp:positionH relativeFrom="column">
                  <wp:posOffset>763929</wp:posOffset>
                </wp:positionH>
                <wp:positionV relativeFrom="paragraph">
                  <wp:posOffset>66321</wp:posOffset>
                </wp:positionV>
                <wp:extent cx="1400537" cy="981035"/>
                <wp:effectExtent l="0" t="38100" r="47625" b="29210"/>
                <wp:wrapNone/>
                <wp:docPr id="1028" name="Straight Arrow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537" cy="981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1B0FF" id="Straight Arrow Connector 1028" o:spid="_x0000_s1026" type="#_x0000_t32" style="position:absolute;margin-left:60.15pt;margin-top:5.2pt;width:110.3pt;height:77.25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8lRwIAAIEEAAAOAAAAZHJzL2Uyb0RvYy54bWysVMFu2zAMvQ/YPwi6p7ZTp02NJkVhJ7t0&#10;W4B2uyuSHAuTRUFS4wTD/n2U4qbrdhmG5aDIFvn4+Pjk27tDr8leOq/ALGhxkVMiDQehzG5Bvzyt&#10;J3NKfGBGMA1GLuhRenq3fP/udrCVnEIHWkhHEMT4arAL2oVgqyzzvJM98xdgpcHDFlzPAj66XSYc&#10;GxC919k0z6+yAZywDrj0Ht82p0O6TPhtK3n43LZeBqIXFLmFtLq0buOaLW9ZtXPMdoqPNNg/sOiZ&#10;Mlj0DNWwwMizU39A9Yo78NCGCw59Bm2ruEw9YDdF/ls3jx2zMvWC4nh7lsn/P1j+ab9xRAmcXT7F&#10;WRnW45Qeg2Nq1wVy7xwMpAZjUElwJAWhZoP1FabWZuNi1/xgHu0D8G+eGKg7ZnYycX86WkQrosrZ&#10;m5T44C1W3g4fQWAMew6QBDy0rietVvZrTIzgKBI5pIkdzxOTh0A4vizKPJ9dXlPC8exmXuSXs1SM&#10;VREnZlvnwwcJPYmbBfVjZ+eWTjXY/sGHyPI1ISYbWCutk0e0IQOWmE1niZQHrUQ8jGHe7ba1dmTP&#10;osvSb2TxJszBsxEJrJNMrMZ9YErjnoSkVXAK1dOSxmq9FJRoiRcr7k70tIkVsX8kPO5ORvt+k9+s&#10;5qt5OSmnV6tJmTfN5H5dl5OrdXE9ay6bum6KH5F8UVadEkKayP/F9EX5d6Yar9/Jrmfbn4XK3qIn&#10;RZHsy38inawQp3/y0RbEceNid9EV6PMUPN7JeJF+fU5Rr1+O5U8AAAD//wMAUEsDBBQABgAIAAAA&#10;IQDWichg3wAAAAoBAAAPAAAAZHJzL2Rvd25yZXYueG1sTI9BT8MwDIXvSPyHyEhcEEvoyrSVphMC&#10;Bic0UcY9a0xbrXGqJtvaf485wc3Pfnr+Xr4eXSdOOITWk4a7mQKBVHnbUq1h97m5XYII0ZA1nSfU&#10;MGGAdXF5kZvM+jN94KmMteAQCpnR0MTYZ1KGqkFnwsz3SHz79oMzkeVQSzuYM4e7TiZKLaQzLfGH&#10;xvT41GB1KI9Ow3O5vd983ezGZKre3svX5WFL04vW11fj4wOIiGP8M8MvPqNDwUx7fyQbRMc6UXO2&#10;8qBSEGyYp2oFYs+LRboCWeTyf4XiBwAA//8DAFBLAQItABQABgAIAAAAIQC2gziS/gAAAOEBAAAT&#10;AAAAAAAAAAAAAAAAAAAAAABbQ29udGVudF9UeXBlc10ueG1sUEsBAi0AFAAGAAgAAAAhADj9If/W&#10;AAAAlAEAAAsAAAAAAAAAAAAAAAAALwEAAF9yZWxzLy5yZWxzUEsBAi0AFAAGAAgAAAAhAIZSjyVH&#10;AgAAgQQAAA4AAAAAAAAAAAAAAAAALgIAAGRycy9lMm9Eb2MueG1sUEsBAi0AFAAGAAgAAAAhANaJ&#10;yGDfAAAACgEAAA8AAAAAAAAAAAAAAAAAoQQAAGRycy9kb3ducmV2LnhtbFBLBQYAAAAABAAEAPMA&#10;AACtBQAAAAA=&#10;">
                <v:stroke endarrow="block"/>
              </v:shape>
            </w:pict>
          </mc:Fallback>
        </mc:AlternateContent>
      </w:r>
    </w:p>
    <w:p w14:paraId="324DFE46" w14:textId="77777777" w:rsidR="0089067C" w:rsidRPr="00D16B79" w:rsidRDefault="0089067C" w:rsidP="0089067C">
      <w:pPr>
        <w:spacing w:after="200" w:line="480" w:lineRule="auto"/>
        <w:rPr>
          <w:rFonts w:ascii="Cambria" w:eastAsia="Calibri" w:hAnsi="Cambria" w:cs="Cambria"/>
          <w:sz w:val="16"/>
          <w:szCs w:val="16"/>
          <w:lang w:val="en-US"/>
        </w:rPr>
      </w:pPr>
    </w:p>
    <w:p w14:paraId="75208D02" w14:textId="77777777" w:rsidR="0089067C" w:rsidRPr="00D16B79" w:rsidRDefault="0089067C" w:rsidP="0089067C">
      <w:pPr>
        <w:spacing w:after="200" w:line="480" w:lineRule="auto"/>
        <w:rPr>
          <w:rFonts w:ascii="Cambria" w:eastAsia="Calibri" w:hAnsi="Cambria" w:cs="Cambria"/>
          <w:sz w:val="16"/>
          <w:szCs w:val="16"/>
          <w:lang w:val="en-US"/>
        </w:rPr>
      </w:pPr>
      <w:r w:rsidRPr="00D16B79">
        <w:rPr>
          <w:rFonts w:ascii="Times New Roman" w:eastAsia="Calibri" w:hAnsi="Times New Roman"/>
          <w:noProof/>
          <w:lang w:val="en-US"/>
        </w:rPr>
        <mc:AlternateContent>
          <mc:Choice Requires="wps">
            <w:drawing>
              <wp:anchor distT="0" distB="0" distL="114300" distR="114300" simplePos="0" relativeHeight="251714048" behindDoc="0" locked="0" layoutInCell="1" allowOverlap="1" wp14:anchorId="6DF2E004" wp14:editId="4CEA9B33">
                <wp:simplePos x="0" y="0"/>
                <wp:positionH relativeFrom="margin">
                  <wp:posOffset>2504681</wp:posOffset>
                </wp:positionH>
                <wp:positionV relativeFrom="paragraph">
                  <wp:posOffset>172085</wp:posOffset>
                </wp:positionV>
                <wp:extent cx="1028700" cy="3714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371475"/>
                        </a:xfrm>
                        <a:prstGeom prst="rect">
                          <a:avLst/>
                        </a:prstGeom>
                        <a:noFill/>
                        <a:ln>
                          <a:noFill/>
                        </a:ln>
                      </wps:spPr>
                      <wps:txbx>
                        <w:txbxContent>
                          <w:p w14:paraId="44FA41C8"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c’ = 5.54</w:t>
                            </w:r>
                            <w:r w:rsidRPr="00085E16">
                              <w:rPr>
                                <w:rFonts w:ascii="Times New Roman" w:eastAsia="Calibri" w:hAnsi="Times New Roman"/>
                                <w:color w:val="000000"/>
                                <w:kern w:val="24"/>
                                <w:position w:val="7"/>
                                <w:vertAlign w:val="superscript"/>
                                <w:lang w:val="en-US"/>
                              </w:rPr>
                              <w:t>n.s</w:t>
                            </w: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F2E004" id="Text Box 1" o:spid="_x0000_s1030" type="#_x0000_t202" style="position:absolute;margin-left:197.2pt;margin-top:13.55pt;width:81pt;height:29.2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Ny7gEAANIDAAAOAAAAZHJzL2Uyb0RvYy54bWysU8GO0zAQvSPxD5bvNEnJ0iVquoJdLUIq&#10;C1IXcXYcp7GIPcZ2m5Sv37GTdMtyQ1wsj2fyZt6bl/XNoDpyFNZJ0CXNFiklQnOopd6X9Pvj/Ztr&#10;SpxnumYdaFHSk3D0ZvP61bo3hVhCC10tLEEQ7YrelLT13hRJ4ngrFHMLMEJjsgGrmMfQ7pPash7R&#10;VZcs0/Rd0oOtjQUunMPXuzFJNxG/aQT3X5vGCU+6kuJsPp42nlU4k82aFXvLTCv5NAb7hykUkxqb&#10;nqHumGfkYOVfUEpyCw4av+CgEmgayUXkgGyy9AWbXcuMiFxQHGfOMrn/B8sfjjvzzRI/fIQBFxhJ&#10;OLMF/tOhNklvXDHVBE1d4UJ11X+BGrfJDh7iF0NjVaCPhAjCoNKns7pi8IQH7HR5vUoxxTH3dpXl&#10;q6sgf8KK+Wtjnf8kQJFwKanF7UV0dtw6P5bOJaGZhnvZdXGDnf7jATHDS5w+DDyO7odqILIuaR76&#10;BjIV1Cekg/7Fdi3Y35T06IWSul8HZgUl3WeNYr/P8jyYJwb51WqJgb3MVJcZfVC3gHbLKGGaI2pJ&#10;/Xy99aP3cPmG+a3eGT6LHpg9Dj+YNRN9j8I9wOwBVrxQYawdaX/APTQySvRMa+KPxokiTyYPzryM&#10;Y9Xzr7h5AgAA//8DAFBLAwQUAAYACAAAACEAZw3HYN4AAAAJAQAADwAAAGRycy9kb3ducmV2Lnht&#10;bEyPTU/DMAyG70j8h8hI3Fiy0Zat1J0QiCuI8SFxy1qvrWicqsnW8u8xJzjafvT6eYvt7Hp1ojF0&#10;nhGWCwOKuPJ1xw3C2+vj1RpUiJZr23smhG8KsC3Pzwqb137iFzrtYqMkhENuEdoYh1zrULXkbFj4&#10;gVhuBz86G2UcG12PdpJw1+uVMZl2tmP50NqB7luqvnZHh/D+dPj8SMxz8+DSYfKz0ew2GvHyYr67&#10;BRVpjn8w/OqLOpTitPdHroPqEa43SSIowupmCUqANM1ksUdYpxnostD/G5Q/AAAA//8DAFBLAQIt&#10;ABQABgAIAAAAIQC2gziS/gAAAOEBAAATAAAAAAAAAAAAAAAAAAAAAABbQ29udGVudF9UeXBlc10u&#10;eG1sUEsBAi0AFAAGAAgAAAAhADj9If/WAAAAlAEAAAsAAAAAAAAAAAAAAAAALwEAAF9yZWxzLy5y&#10;ZWxzUEsBAi0AFAAGAAgAAAAhAKRUw3LuAQAA0gMAAA4AAAAAAAAAAAAAAAAALgIAAGRycy9lMm9E&#10;b2MueG1sUEsBAi0AFAAGAAgAAAAhAGcNx2DeAAAACQEAAA8AAAAAAAAAAAAAAAAASAQAAGRycy9k&#10;b3ducmV2LnhtbFBLBQYAAAAABAAEAPMAAABTBQAAAAA=&#10;" filled="f" stroked="f">
                <v:textbox>
                  <w:txbxContent>
                    <w:p w14:paraId="44FA41C8"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c’ = 5.54</w:t>
                      </w:r>
                      <w:r w:rsidRPr="00085E16">
                        <w:rPr>
                          <w:rFonts w:ascii="Times New Roman" w:eastAsia="Calibri" w:hAnsi="Times New Roman"/>
                          <w:color w:val="000000"/>
                          <w:kern w:val="24"/>
                          <w:position w:val="7"/>
                          <w:vertAlign w:val="superscript"/>
                          <w:lang w:val="en-US"/>
                        </w:rPr>
                        <w:t>n.s</w:t>
                      </w:r>
                    </w:p>
                  </w:txbxContent>
                </v:textbox>
                <w10:wrap anchorx="margin"/>
              </v:shape>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10976" behindDoc="0" locked="0" layoutInCell="1" allowOverlap="1" wp14:anchorId="375CEE17" wp14:editId="5F50DC5A">
                <wp:simplePos x="0" y="0"/>
                <wp:positionH relativeFrom="column">
                  <wp:posOffset>4267835</wp:posOffset>
                </wp:positionH>
                <wp:positionV relativeFrom="paragraph">
                  <wp:posOffset>322580</wp:posOffset>
                </wp:positionV>
                <wp:extent cx="1853565" cy="474345"/>
                <wp:effectExtent l="0" t="0" r="13335" b="20955"/>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53565" cy="474345"/>
                        </a:xfrm>
                        <a:prstGeom prst="rect">
                          <a:avLst/>
                        </a:prstGeom>
                        <a:solidFill>
                          <a:srgbClr val="FFFFFF"/>
                        </a:solidFill>
                        <a:ln w="9525">
                          <a:solidFill>
                            <a:srgbClr val="000000"/>
                          </a:solidFill>
                          <a:miter lim="800000"/>
                          <a:headEnd/>
                          <a:tailEnd/>
                        </a:ln>
                      </wps:spPr>
                      <wps:txbx>
                        <w:txbxContent>
                          <w:p w14:paraId="4FBA6155" w14:textId="67995968" w:rsidR="008A4C73" w:rsidRPr="00085E16" w:rsidRDefault="008A4C73" w:rsidP="0089067C">
                            <w:pPr>
                              <w:kinsoku w:val="0"/>
                              <w:overflowPunct w:val="0"/>
                              <w:jc w:val="center"/>
                              <w:textAlignment w:val="baseline"/>
                              <w:rPr>
                                <w:rFonts w:ascii="Times New Roman" w:hAnsi="Times New Roman"/>
                              </w:rPr>
                            </w:pPr>
                            <w:r w:rsidRPr="00085E16">
                              <w:rPr>
                                <w:rFonts w:ascii="Times New Roman" w:eastAsia="Calibri" w:hAnsi="Times New Roman"/>
                                <w:color w:val="000000"/>
                                <w:kern w:val="24"/>
                                <w:lang w:val="en-US"/>
                              </w:rPr>
                              <w:t>Donations to organization f</w:t>
                            </w:r>
                            <w:r>
                              <w:rPr>
                                <w:rFonts w:ascii="Times New Roman" w:eastAsia="Calibri" w:hAnsi="Times New Roman"/>
                                <w:color w:val="000000"/>
                                <w:kern w:val="24"/>
                                <w:lang w:val="en-US"/>
                              </w:rPr>
                              <w:t>a</w:t>
                            </w:r>
                            <w:r w:rsidRPr="00085E16">
                              <w:rPr>
                                <w:rFonts w:ascii="Times New Roman" w:eastAsia="Calibri" w:hAnsi="Times New Roman"/>
                                <w:color w:val="000000"/>
                                <w:kern w:val="24"/>
                                <w:lang w:val="en-US"/>
                              </w:rPr>
                              <w:t>rther from goal</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75CEE17" id="Text Box 1029" o:spid="_x0000_s1031" type="#_x0000_t202" style="position:absolute;margin-left:336.05pt;margin-top:25.4pt;width:145.95pt;height:37.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7WHwIAAE4EAAAOAAAAZHJzL2Uyb0RvYy54bWysVMGO0zAQvSPxD5bvNG032e1GTVeiSxFS&#10;WZC6iPPEcRoLxza222T5+h07aSkLXBA+WJ7M+NnvvXGWd30ryZFbJ7Qq6GwypYQrpiuh9gX98rh5&#10;s6DEeVAVSK14QZ+4o3er16+Wncn5XDdaVtwSBFEu70xBG+9NniSONbwFN9GGK0zW2rbgMbT7pLLQ&#10;IXork/l0ep102lbGasadw6/3Q5KuIn5dc+Y/1bXjnsiC4t18nG2cyzAnqyXkewumEWy8BvzDLVoQ&#10;Cg89Q92DB3Kw4jeoVjCrna79hOk20XUtGI8ckM1s+oLNrgHDIxcUx5mzTO7/wbKH4858tsT3b3WP&#10;BkYSzmw1++ZQm6QzLh9rgqYud6G67D7qCt2Eg9dxR1/bNtBHQgRhUOmns7q894QF7EV2lV1nlDDM&#10;pTfpVZoF+RPIT7uNdf491y0Ji4JadC+iw3Hr/FB6KgmHOS1FtRFSxsDuy7W05Ajo9CaOEf2XMqlI&#10;V9DbbJ4NTP8KMY3jTxCt8NiyUrQFXZyLIG84VO9UFRvKg5DDGtlJNeoYpBtE9H3ZE1EVNCoQZC11&#10;9YTC4ktC4o22PyjpsCsL6r4fwHJK5AeFtt/O0jS0cQzS7GaOgb3MlJcZdWjXGuWYUQKKIWpB/Wm5&#10;9sMrwDY04LdqZ9jJ/qDxY/8VrBmN8Gjhgz51I+Qv/BhqR5IDkTHApo0Gjw8svIrLOFb9/A2sngEA&#10;AP//AwBQSwMEFAAGAAgAAAAhAIBCT6zgAAAACgEAAA8AAABkcnMvZG93bnJldi54bWxMj8tOwzAQ&#10;RfdI/IM1SOyo05SENsSpeAgJVUgVTT/AjYc4EI+j2G3D3zOsYDmao3vPLdeT68UJx9B5UjCfJSCQ&#10;Gm86ahXs65ebJYgQNRnde0IF3xhgXV1elLow/kzveNrFVnAIhUIrsDEOhZShseh0mPkBiX8ffnQ6&#10;8jm20oz6zOGul2mS5NLpjrjB6gGfLDZfu6NT8Py52O6ps8YNi9dNXb9N2VY+KnV9NT3cg4g4xT8Y&#10;fvVZHSp2OvgjmSB6BfldOmdUQZbwBAZW+S2POzCZZhnIqpT/J1Q/AAAA//8DAFBLAQItABQABgAI&#10;AAAAIQC2gziS/gAAAOEBAAATAAAAAAAAAAAAAAAAAAAAAABbQ29udGVudF9UeXBlc10ueG1sUEsB&#10;Ai0AFAAGAAgAAAAhADj9If/WAAAAlAEAAAsAAAAAAAAAAAAAAAAALwEAAF9yZWxzLy5yZWxzUEsB&#10;Ai0AFAAGAAgAAAAhAKKpHtYfAgAATgQAAA4AAAAAAAAAAAAAAAAALgIAAGRycy9lMm9Eb2MueG1s&#10;UEsBAi0AFAAGAAgAAAAhAIBCT6zgAAAACgEAAA8AAAAAAAAAAAAAAAAAeQQAAGRycy9kb3ducmV2&#10;LnhtbFBLBQYAAAAABAAEAPMAAACGBQAAAAA=&#10;">
                <v:path arrowok="t"/>
                <v:textbox>
                  <w:txbxContent>
                    <w:p w14:paraId="4FBA6155" w14:textId="67995968" w:rsidR="008A4C73" w:rsidRPr="00085E16" w:rsidRDefault="008A4C73" w:rsidP="0089067C">
                      <w:pPr>
                        <w:kinsoku w:val="0"/>
                        <w:overflowPunct w:val="0"/>
                        <w:jc w:val="center"/>
                        <w:textAlignment w:val="baseline"/>
                        <w:rPr>
                          <w:rFonts w:ascii="Times New Roman" w:hAnsi="Times New Roman"/>
                        </w:rPr>
                      </w:pPr>
                      <w:r w:rsidRPr="00085E16">
                        <w:rPr>
                          <w:rFonts w:ascii="Times New Roman" w:eastAsia="Calibri" w:hAnsi="Times New Roman"/>
                          <w:color w:val="000000"/>
                          <w:kern w:val="24"/>
                          <w:lang w:val="en-US"/>
                        </w:rPr>
                        <w:t>Donations to organization f</w:t>
                      </w:r>
                      <w:r>
                        <w:rPr>
                          <w:rFonts w:ascii="Times New Roman" w:eastAsia="Calibri" w:hAnsi="Times New Roman"/>
                          <w:color w:val="000000"/>
                          <w:kern w:val="24"/>
                          <w:lang w:val="en-US"/>
                        </w:rPr>
                        <w:t>a</w:t>
                      </w:r>
                      <w:r w:rsidRPr="00085E16">
                        <w:rPr>
                          <w:rFonts w:ascii="Times New Roman" w:eastAsia="Calibri" w:hAnsi="Times New Roman"/>
                          <w:color w:val="000000"/>
                          <w:kern w:val="24"/>
                          <w:lang w:val="en-US"/>
                        </w:rPr>
                        <w:t>rther from goal</w:t>
                      </w:r>
                    </w:p>
                  </w:txbxContent>
                </v:textbox>
              </v:shape>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13024" behindDoc="0" locked="0" layoutInCell="1" allowOverlap="1" wp14:anchorId="7DC18EB1" wp14:editId="3C2246F5">
                <wp:simplePos x="0" y="0"/>
                <wp:positionH relativeFrom="column">
                  <wp:posOffset>-89535</wp:posOffset>
                </wp:positionH>
                <wp:positionV relativeFrom="paragraph">
                  <wp:posOffset>324485</wp:posOffset>
                </wp:positionV>
                <wp:extent cx="1652270" cy="475615"/>
                <wp:effectExtent l="0" t="0" r="24130" b="19685"/>
                <wp:wrapNone/>
                <wp:docPr id="103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2270" cy="475615"/>
                        </a:xfrm>
                        <a:prstGeom prst="rect">
                          <a:avLst/>
                        </a:prstGeom>
                        <a:solidFill>
                          <a:srgbClr val="FFFFFF"/>
                        </a:solidFill>
                        <a:ln w="9525">
                          <a:solidFill>
                            <a:srgbClr val="000000"/>
                          </a:solidFill>
                          <a:miter lim="800000"/>
                          <a:headEnd/>
                          <a:tailEnd/>
                        </a:ln>
                      </wps:spPr>
                      <wps:txbx>
                        <w:txbxContent>
                          <w:p w14:paraId="3C34E540" w14:textId="77777777" w:rsidR="008A4C73" w:rsidRPr="00085E16" w:rsidRDefault="008A4C73" w:rsidP="0089067C">
                            <w:pPr>
                              <w:shd w:val="clear" w:color="auto" w:fill="FFFFFF"/>
                              <w:kinsoku w:val="0"/>
                              <w:overflowPunct w:val="0"/>
                              <w:jc w:val="center"/>
                              <w:textAlignment w:val="baseline"/>
                              <w:rPr>
                                <w:rFonts w:ascii="Times New Roman" w:hAnsi="Times New Roman"/>
                              </w:rPr>
                            </w:pPr>
                            <w:r w:rsidRPr="00085E16">
                              <w:rPr>
                                <w:rFonts w:ascii="Times New Roman" w:eastAsia="Calibri" w:hAnsi="Times New Roman"/>
                                <w:color w:val="000000"/>
                                <w:kern w:val="24"/>
                                <w:lang w:val="en-US"/>
                              </w:rPr>
                              <w:t>Joint (vs. Separate) Evaluations</w:t>
                            </w: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C18EB1" id="Text Box 1030" o:spid="_x0000_s1032" type="#_x0000_t202" style="position:absolute;margin-left:-7.05pt;margin-top:25.55pt;width:130.1pt;height:37.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CJwIAAFwEAAAOAAAAZHJzL2Uyb0RvYy54bWysVMGO0zAQvSPxD5bvNG3UtLtR0xV0KUIq&#10;C1IXcXYdp7FwPMZ2m5Sv37GTdssCF4QPliczfvZ7b5zFXdcochTWSdAFnYzGlAjNoZR6X9Cvj+s3&#10;N5Q4z3TJFGhR0JNw9G75+tWiNblIoQZVCksQRLu8NQWtvTd5kjhei4a5ERihMVmBbZjH0O6T0rIW&#10;0RuVpOPxLGnBlsYCF87h1/s+SZcRv6oE95+ryglPVEHxbj7ONs67MCfLBcv3lpla8uEa7B9u0TCp&#10;8dAL1D3zjBys/A2qkdyCg8qPODQJVJXkInJANpPxCzbbmhkRuaA4zlxkcv8Plj8ct+aLJb57Bx0a&#10;GEk4swH+3aE2SWtcPtQETV3uQvWu/QQluskOHuKOrrJNoI+ECMKg0qeLuqLzhAfsWZamc0xxzE3n&#10;2WySBfkTlp93G+v8BwENCYuCWnQvorPjxvm+9FwSDnOgZLmWSsXA7ncrZcmRodPrOAb0X8qUJm1B&#10;b7M065n+FWIcx58gGumxZZVsCnpzKWJ5LVj5XpexoTyTql8jO6UHHYN0vYi+23VElgWdhQOCrDso&#10;TygsviQkXoP9SUmLXVlQ9+PArKBEfdRo++1kOg1tHINpNk8xsNeZ3XVGH5oVoBwTSpjmiFpQf16u&#10;fP8KsA0N8xu9Nfxsf9D4sfvGrBmM8GjhA5y7keUv/Ohrgwka3mJHVDKa9Uxr4I8tHO0enlt4I9dx&#10;rHr+KSyfAAAA//8DAFBLAwQUAAYACAAAACEAfsWtXd8AAAAKAQAADwAAAGRycy9kb3ducmV2Lnht&#10;bEyP3WrDMAxG7wd7B6PB7lonaRtGFqfsh8EYg7KmD+DGWpw2lkPsttnbT7taryShw6ejcj25Xpxx&#10;DJ0nBek8AYHUeNNRq2BXv80eQISoyejeEyr4wQDr6vam1IXxF/rC8za2gkMoFFqBjXEopAyNRafD&#10;3A9IvPv2o9ORx7GVZtQXDne9zJIkl053xBesHvDFYnPcnpyC18Nis6POGjcs3j/q+nNabeSzUvd3&#10;09MjiIhT/IfhT5/VoWKnvT+RCaJXMEuXKaMKVilXBrJlzs2eySxPQFalvH6h+gUAAP//AwBQSwEC&#10;LQAUAAYACAAAACEAtoM4kv4AAADhAQAAEwAAAAAAAAAAAAAAAAAAAAAAW0NvbnRlbnRfVHlwZXNd&#10;LnhtbFBLAQItABQABgAIAAAAIQA4/SH/1gAAAJQBAAALAAAAAAAAAAAAAAAAAC8BAABfcmVscy8u&#10;cmVsc1BLAQItABQABgAIAAAAIQCav/zCJwIAAFwEAAAOAAAAAAAAAAAAAAAAAC4CAABkcnMvZTJv&#10;RG9jLnhtbFBLAQItABQABgAIAAAAIQB+xa1d3wAAAAoBAAAPAAAAAAAAAAAAAAAAAIEEAABkcnMv&#10;ZG93bnJldi54bWxQSwUGAAAAAAQABADzAAAAjQUAAAAA&#10;">
                <v:path arrowok="t"/>
                <v:textbox>
                  <w:txbxContent>
                    <w:p w14:paraId="3C34E540" w14:textId="77777777" w:rsidR="008A4C73" w:rsidRPr="00085E16" w:rsidRDefault="008A4C73" w:rsidP="0089067C">
                      <w:pPr>
                        <w:shd w:val="clear" w:color="auto" w:fill="FFFFFF"/>
                        <w:kinsoku w:val="0"/>
                        <w:overflowPunct w:val="0"/>
                        <w:jc w:val="center"/>
                        <w:textAlignment w:val="baseline"/>
                        <w:rPr>
                          <w:rFonts w:ascii="Times New Roman" w:hAnsi="Times New Roman"/>
                        </w:rPr>
                      </w:pPr>
                      <w:r w:rsidRPr="00085E16">
                        <w:rPr>
                          <w:rFonts w:ascii="Times New Roman" w:eastAsia="Calibri" w:hAnsi="Times New Roman"/>
                          <w:color w:val="000000"/>
                          <w:kern w:val="24"/>
                          <w:lang w:val="en-US"/>
                        </w:rPr>
                        <w:t>Joint (vs. Separate) Evaluations</w:t>
                      </w:r>
                    </w:p>
                  </w:txbxContent>
                </v:textbox>
              </v:shape>
            </w:pict>
          </mc:Fallback>
        </mc:AlternateContent>
      </w:r>
    </w:p>
    <w:bookmarkEnd w:id="14"/>
    <w:p w14:paraId="7CCE6DCC" w14:textId="77777777" w:rsidR="0089067C" w:rsidRPr="00D16B79" w:rsidRDefault="0089067C" w:rsidP="0089067C">
      <w:pPr>
        <w:spacing w:after="200" w:line="480" w:lineRule="auto"/>
        <w:rPr>
          <w:rFonts w:ascii="Cambria" w:eastAsia="Calibri" w:hAnsi="Cambria" w:cs="Cambria"/>
          <w:sz w:val="16"/>
          <w:szCs w:val="16"/>
          <w:lang w:val="en-US"/>
        </w:rPr>
      </w:pPr>
      <w:r w:rsidRPr="00D16B79">
        <w:rPr>
          <w:rFonts w:ascii="Times New Roman" w:eastAsia="Calibri" w:hAnsi="Times New Roman"/>
          <w:noProof/>
          <w:lang w:val="en-US"/>
        </w:rPr>
        <mc:AlternateContent>
          <mc:Choice Requires="wps">
            <w:drawing>
              <wp:anchor distT="0" distB="0" distL="114300" distR="114300" simplePos="0" relativeHeight="251707904" behindDoc="0" locked="0" layoutInCell="1" allowOverlap="1" wp14:anchorId="68E6E3DD" wp14:editId="0A08EBD1">
                <wp:simplePos x="0" y="0"/>
                <wp:positionH relativeFrom="column">
                  <wp:posOffset>2498966</wp:posOffset>
                </wp:positionH>
                <wp:positionV relativeFrom="paragraph">
                  <wp:posOffset>143510</wp:posOffset>
                </wp:positionV>
                <wp:extent cx="1028700" cy="482600"/>
                <wp:effectExtent l="0" t="0" r="0" b="0"/>
                <wp:wrapNone/>
                <wp:docPr id="1031"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482600"/>
                        </a:xfrm>
                        <a:prstGeom prst="rect">
                          <a:avLst/>
                        </a:prstGeom>
                        <a:noFill/>
                        <a:ln>
                          <a:noFill/>
                        </a:ln>
                      </wps:spPr>
                      <wps:txbx>
                        <w:txbxContent>
                          <w:p w14:paraId="544BAD41"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c = 9.44*</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8E6E3DD" id="Text Box 1031" o:spid="_x0000_s1033" type="#_x0000_t202" style="position:absolute;margin-left:196.75pt;margin-top:11.3pt;width:81pt;height:3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i5gEAAMQDAAAOAAAAZHJzL2Uyb0RvYy54bWysU8GO0zAQvSPxD5bvNGlVtiVquhK7WoRU&#10;FqQu2rPjOE1E7DEet0n5esZOUsruDXGxPJ7Jm3lvXja3vW7ZSTlswOR8Pks5U0ZC2ZhDzr8/Pbxb&#10;c4ZemFK0YFTOzwr57fbtm01nM7WAGtpSOUYgBrPO5rz23mZJgrJWWuAMrDKUrMBp4Sl0h6R0oiN0&#10;3SaLNL1JOnCldSAVIr3eD0m+jfhVpaT/WlWoPGtzTrP5eLp4FuFMthuRHZywdSPHMcQ/TKFFY6jp&#10;BepeeMGOrnkFpRvpAKHyMwk6gapqpIociM08fcFmXwurIhcSB+1FJvx/sPLxtLffHPP9R+hpgZEE&#10;2h3IH0jaJJ3FbKwJmmKGobrovkBJ2xRHD/GLvnI60CdCjGBI6fNFXdV7JgN2ulivUkpJyi3Xixu6&#10;hxYim762Dv0nBZqFS84dbS+ii9MO/VA6lYRmBh6ato0bbM1fD4QZXuL0YeBhdN8XPWvKnK9C30Cm&#10;gPJMdMi/1K4G94uzjryQc/x5FE5x1n42JPaH+XIZzBOD5fvVggJ3nSmuM+ao74DsNudMGEmoOffT&#10;9c4P3qPlW+F3Zm/lJHpg9tQ/C2dH+p6Ee4TJAyJ7ocJQO5IciIwBWSXKOto6ePE6jlV/fr7tbwAA&#10;AP//AwBQSwMEFAAGAAgAAAAhAP8bJWHdAAAACQEAAA8AAABkcnMvZG93bnJldi54bWxMj01PwzAM&#10;hu9I/IfISNxYQkertdSdEIgriPEhcctar61onKrJ1vLvMSfwzfKj189bbhc3qBNNofeMcL0yoIhr&#10;3/TcIry9Pl5tQIVoubGDZ0L4pgDb6vystEXjZ36h0y62SkI4FBahi3EstA51R86GlR+J5Xbwk7NR&#10;1qnVzWRnCXeDTozJtLM9y4fOjnTfUf21OzqE96fD58eNeW4fXDrOfjGaXa4RLy+Wu1tQkZb4B8Ov&#10;vqhDJU57f+QmqAFhna9TQRGSJAMlQCoDao+QbzLQVan/N6h+AAAA//8DAFBLAQItABQABgAIAAAA&#10;IQC2gziS/gAAAOEBAAATAAAAAAAAAAAAAAAAAAAAAABbQ29udGVudF9UeXBlc10ueG1sUEsBAi0A&#10;FAAGAAgAAAAhADj9If/WAAAAlAEAAAsAAAAAAAAAAAAAAAAALwEAAF9yZWxzLy5yZWxzUEsBAi0A&#10;FAAGAAgAAAAhAD/E2aLmAQAAxAMAAA4AAAAAAAAAAAAAAAAALgIAAGRycy9lMm9Eb2MueG1sUEsB&#10;Ai0AFAAGAAgAAAAhAP8bJWHdAAAACQEAAA8AAAAAAAAAAAAAAAAAQAQAAGRycy9kb3ducmV2Lnht&#10;bFBLBQYAAAAABAAEAPMAAABKBQAAAAA=&#10;" filled="f" stroked="f">
                <v:textbox>
                  <w:txbxContent>
                    <w:p w14:paraId="544BAD41" w14:textId="77777777" w:rsidR="008A4C73" w:rsidRPr="00085E16" w:rsidRDefault="008A4C73" w:rsidP="0089067C">
                      <w:pPr>
                        <w:kinsoku w:val="0"/>
                        <w:overflowPunct w:val="0"/>
                        <w:textAlignment w:val="baseline"/>
                        <w:rPr>
                          <w:rFonts w:ascii="Times New Roman" w:hAnsi="Times New Roman"/>
                        </w:rPr>
                      </w:pPr>
                      <w:r w:rsidRPr="00085E16">
                        <w:rPr>
                          <w:rFonts w:ascii="Times New Roman" w:eastAsia="Calibri" w:hAnsi="Times New Roman"/>
                          <w:color w:val="000000"/>
                          <w:kern w:val="24"/>
                          <w:lang w:val="en-US"/>
                        </w:rPr>
                        <w:t>c = 9.44*</w:t>
                      </w:r>
                    </w:p>
                  </w:txbxContent>
                </v:textbox>
              </v:shape>
            </w:pict>
          </mc:Fallback>
        </mc:AlternateContent>
      </w:r>
      <w:r w:rsidRPr="00D16B79">
        <w:rPr>
          <w:rFonts w:ascii="Times New Roman" w:eastAsia="Calibri" w:hAnsi="Times New Roman"/>
          <w:noProof/>
          <w:lang w:val="en-US"/>
        </w:rPr>
        <mc:AlternateContent>
          <mc:Choice Requires="wps">
            <w:drawing>
              <wp:anchor distT="0" distB="0" distL="114300" distR="114300" simplePos="0" relativeHeight="251712000" behindDoc="0" locked="0" layoutInCell="1" allowOverlap="1" wp14:anchorId="01B55F49" wp14:editId="134B56FE">
                <wp:simplePos x="0" y="0"/>
                <wp:positionH relativeFrom="column">
                  <wp:posOffset>1219200</wp:posOffset>
                </wp:positionH>
                <wp:positionV relativeFrom="paragraph">
                  <wp:posOffset>153180</wp:posOffset>
                </wp:positionV>
                <wp:extent cx="3045557" cy="0"/>
                <wp:effectExtent l="0" t="76200" r="21590" b="95250"/>
                <wp:wrapNone/>
                <wp:docPr id="1032" name="Straight Arrow Connector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5557" cy="0"/>
                        </a:xfrm>
                        <a:prstGeom prst="straightConnector1">
                          <a:avLst/>
                        </a:prstGeom>
                        <a:noFill/>
                        <a:ln w="9525">
                          <a:solidFill>
                            <a:sysClr val="windowText" lastClr="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190BB7" id="Straight Arrow Connector 1032" o:spid="_x0000_s1026" type="#_x0000_t32" style="position:absolute;margin-left:96pt;margin-top:12.05pt;width:239.8pt;height:0;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zNWwIAAKgEAAAOAAAAZHJzL2Uyb0RvYy54bWysVMtu2zAQvBfoPxC8O5IcOQ8hchBIdi9p&#10;EyBp7wxJWUQpLkEylo2i/94l5ThJeymK+kCvxN3lzHBWV9e7QZOtdF6BqWlxklMiDQehzKamXx/X&#10;swtKfGBGMA1G1nQvPb1efvxwNdpKzqEHLaQj2MT4arQ17UOwVZZ53suB+ROw0uBmB25gAR/dJhOO&#10;jdh90Nk8z8+yEZywDrj0Ht+20yZdpv5dJ3m46zovA9E1RWwhrS6tT3HNlles2jhme8UPMNg/oBiY&#10;MnjosVXLAiPPTv3RalDcgYcunHAYMug6xWXigGyK/Dc2Dz2zMnFBcbw9yuT/X1v+ZXvviBJ4d/np&#10;nBLDBrylh+CY2vSB3DgHI2nAGFQSHElJqNlofYWljbl3kTXfmQd7C/y7JwaanpmNTNgf9xa7FVHl&#10;7F1JfPAWT34aP4PAHPYcIAm469xAOq3st1gYm6NIZJdubH+8MbkLhOPL07xcLBbnlPCXvYxVsUUs&#10;tM6HTxIGEoOa+gOpI5upPdve+hABvhbEYgNrpXWyhzZkrOnlYr5IeDxoJeJmTPN732hHtgz9hbYU&#10;MD4iNko08wE3EHD6JQUw+21pRNUy30/FAqPJjQ6ejUgH95KJ1SEOTGmMSUiSBqdQZC1pRDZIgQdK&#10;nL8YTVS0iegQCpI7RJMff1zml6uL1UU5K+dnq1mZt+3sZt2Us7N1cb5oT9umaYufkWhRVr0SQprI&#10;9WU2ivLvvHeY0snVx+k4ipq9757UR7Av/wl0ckw0yWS3JxD7exfZRfPgOKTkw+jGeXv7nLJePzDL&#10;XwAAAP//AwBQSwMEFAAGAAgAAAAhAA5/PpLcAAAACQEAAA8AAABkcnMvZG93bnJldi54bWxMj8FO&#10;wzAQRO9I/IO1SNzoJhFK2xCnCgguICEocHfibRIRryPbbcLfY8QBjjM7mn1T7hYzihM5P1iWkK4S&#10;EMSt1QN3Et7fHq42IHxQrNVomSR8kYdddX5WqkLbmV/ptA+diCXsCyWhD2EqEH3bk1F+ZSfieDtY&#10;Z1SI0nWonZpjuRkxS5IcjRo4fujVRHc9tZ/7o5Fw7+rm+Xa7zLX2j7hZvxw+nhClvLxY6hsQgZbw&#10;F4Yf/IgOVWRq7JG1F2PU2yxuCRKy6xREDOTrNAfR/BpYlfh/QfUNAAD//wMAUEsBAi0AFAAGAAgA&#10;AAAhALaDOJL+AAAA4QEAABMAAAAAAAAAAAAAAAAAAAAAAFtDb250ZW50X1R5cGVzXS54bWxQSwEC&#10;LQAUAAYACAAAACEAOP0h/9YAAACUAQAACwAAAAAAAAAAAAAAAAAvAQAAX3JlbHMvLnJlbHNQSwEC&#10;LQAUAAYACAAAACEATUz8zVsCAACoBAAADgAAAAAAAAAAAAAAAAAuAgAAZHJzL2Uyb0RvYy54bWxQ&#10;SwECLQAUAAYACAAAACEADn8+ktwAAAAJAQAADwAAAAAAAAAAAAAAAAC1BAAAZHJzL2Rvd25yZXYu&#10;eG1sUEsFBgAAAAAEAAQA8wAAAL4FAAAAAA==&#10;" strokecolor="windowText">
                <v:stroke dashstyle="dash" endarrow="block"/>
              </v:shape>
            </w:pict>
          </mc:Fallback>
        </mc:AlternateContent>
      </w:r>
    </w:p>
    <w:bookmarkEnd w:id="7"/>
    <w:bookmarkEnd w:id="13"/>
    <w:bookmarkEnd w:id="15"/>
    <w:p w14:paraId="0E3F7684" w14:textId="1EC410B7" w:rsidR="00C92A02" w:rsidRPr="00D16B79" w:rsidRDefault="00F109D9" w:rsidP="00F109D9">
      <w:pPr>
        <w:pStyle w:val="Heading2"/>
        <w:rPr>
          <w:rFonts w:eastAsia="Calibri"/>
          <w:lang w:eastAsia="en-US"/>
        </w:rPr>
      </w:pPr>
      <w:r w:rsidRPr="00D16B79">
        <w:rPr>
          <w:rFonts w:eastAsia="Calibri"/>
          <w:lang w:eastAsia="en-US"/>
        </w:rPr>
        <w:lastRenderedPageBreak/>
        <w:t>Discussion</w:t>
      </w:r>
    </w:p>
    <w:p w14:paraId="0E638233" w14:textId="320C645F" w:rsidR="00F109D9" w:rsidRPr="00D16B79" w:rsidRDefault="00F109D9">
      <w:pPr>
        <w:spacing w:line="480" w:lineRule="auto"/>
        <w:ind w:firstLine="720"/>
        <w:rPr>
          <w:lang w:val="en-US"/>
        </w:rPr>
      </w:pPr>
      <w:r w:rsidRPr="00D16B79">
        <w:rPr>
          <w:lang w:val="en-US"/>
        </w:rPr>
        <w:t xml:space="preserve">Study </w:t>
      </w:r>
      <w:r w:rsidR="00E455BA" w:rsidRPr="00D16B79">
        <w:rPr>
          <w:lang w:val="en-US"/>
        </w:rPr>
        <w:t>1</w:t>
      </w:r>
      <w:r w:rsidRPr="00D16B79">
        <w:rPr>
          <w:lang w:val="en-US"/>
        </w:rPr>
        <w:t xml:space="preserve"> shows </w:t>
      </w:r>
      <w:r w:rsidR="00D85686" w:rsidRPr="00D16B79">
        <w:rPr>
          <w:lang w:val="en-US"/>
        </w:rPr>
        <w:t>how</w:t>
      </w:r>
      <w:r w:rsidRPr="00D16B79">
        <w:rPr>
          <w:lang w:val="en-US"/>
        </w:rPr>
        <w:t xml:space="preserve"> </w:t>
      </w:r>
      <w:r w:rsidR="00D85686" w:rsidRPr="00D16B79">
        <w:rPr>
          <w:lang w:val="en-US"/>
        </w:rPr>
        <w:t xml:space="preserve">joint </w:t>
      </w:r>
      <w:r w:rsidRPr="00D16B79">
        <w:rPr>
          <w:lang w:val="en-US"/>
        </w:rPr>
        <w:t>evaluation mode</w:t>
      </w:r>
      <w:r w:rsidR="00CA2EC3" w:rsidRPr="00D16B79">
        <w:rPr>
          <w:lang w:val="en-US"/>
        </w:rPr>
        <w:t>,</w:t>
      </w:r>
      <w:r w:rsidRPr="00D16B79">
        <w:rPr>
          <w:lang w:val="en-US"/>
        </w:rPr>
        <w:t xml:space="preserve"> </w:t>
      </w:r>
      <w:r w:rsidR="00D85686" w:rsidRPr="00D16B79">
        <w:rPr>
          <w:lang w:val="en-US"/>
        </w:rPr>
        <w:t xml:space="preserve">where two charities are presented together </w:t>
      </w:r>
      <w:r w:rsidR="001548E0" w:rsidRPr="00D16B79">
        <w:rPr>
          <w:lang w:val="en-US"/>
        </w:rPr>
        <w:t xml:space="preserve">(vs. </w:t>
      </w:r>
      <w:r w:rsidRPr="00D16B79">
        <w:rPr>
          <w:lang w:val="en-US"/>
        </w:rPr>
        <w:t>separately</w:t>
      </w:r>
      <w:r w:rsidR="001548E0" w:rsidRPr="00D16B79">
        <w:rPr>
          <w:lang w:val="en-US"/>
        </w:rPr>
        <w:t>)</w:t>
      </w:r>
      <w:r w:rsidR="003F3BEE" w:rsidRPr="00D16B79">
        <w:rPr>
          <w:lang w:val="en-US"/>
        </w:rPr>
        <w:t xml:space="preserve">, </w:t>
      </w:r>
      <w:r w:rsidRPr="00D16B79">
        <w:rPr>
          <w:lang w:val="en-US"/>
        </w:rPr>
        <w:t xml:space="preserve">can increase donations to the </w:t>
      </w:r>
      <w:r w:rsidR="00286F85" w:rsidRPr="00D16B79">
        <w:rPr>
          <w:lang w:val="en-US"/>
        </w:rPr>
        <w:t xml:space="preserve">charitable </w:t>
      </w:r>
      <w:r w:rsidRPr="00D16B79">
        <w:rPr>
          <w:lang w:val="en-US"/>
        </w:rPr>
        <w:t xml:space="preserve">organization </w:t>
      </w:r>
      <w:r w:rsidR="003C404E" w:rsidRPr="00D16B79">
        <w:rPr>
          <w:lang w:val="en-US"/>
        </w:rPr>
        <w:t>farther</w:t>
      </w:r>
      <w:r w:rsidRPr="00D16B79">
        <w:rPr>
          <w:lang w:val="en-US"/>
        </w:rPr>
        <w:t xml:space="preserve"> from its goal. </w:t>
      </w:r>
      <w:r w:rsidR="00D87751" w:rsidRPr="00D16B79">
        <w:rPr>
          <w:lang w:val="en-US"/>
        </w:rPr>
        <w:t>It also demonstrates that</w:t>
      </w:r>
      <w:r w:rsidRPr="00D16B79">
        <w:rPr>
          <w:lang w:val="en-US"/>
        </w:rPr>
        <w:t xml:space="preserve"> the </w:t>
      </w:r>
      <w:r w:rsidR="00D85686" w:rsidRPr="00D16B79">
        <w:rPr>
          <w:lang w:val="en-US"/>
        </w:rPr>
        <w:t xml:space="preserve">effect </w:t>
      </w:r>
      <w:r w:rsidR="00CA2EC3" w:rsidRPr="00D16B79">
        <w:rPr>
          <w:lang w:val="en-US"/>
        </w:rPr>
        <w:t>is mediated by perceptions of need</w:t>
      </w:r>
      <w:r w:rsidR="00C13C5B" w:rsidRPr="00D16B79">
        <w:rPr>
          <w:lang w:val="en-US"/>
        </w:rPr>
        <w:t xml:space="preserve"> for help</w:t>
      </w:r>
      <w:r w:rsidR="00CA2EC3" w:rsidRPr="00D16B79">
        <w:rPr>
          <w:lang w:val="en-US"/>
        </w:rPr>
        <w:t>. That is,</w:t>
      </w:r>
      <w:r w:rsidR="00D85686" w:rsidRPr="00D16B79">
        <w:rPr>
          <w:lang w:val="en-US"/>
        </w:rPr>
        <w:t xml:space="preserve"> joint presentation makes the charity farther from its goal </w:t>
      </w:r>
      <w:r w:rsidR="00422E03">
        <w:rPr>
          <w:lang w:val="en-US"/>
        </w:rPr>
        <w:t>seem</w:t>
      </w:r>
      <w:r w:rsidR="00D85686" w:rsidRPr="00D16B79">
        <w:rPr>
          <w:lang w:val="en-US"/>
        </w:rPr>
        <w:t xml:space="preserve"> more </w:t>
      </w:r>
      <w:r w:rsidR="00C13C5B" w:rsidRPr="00D16B79">
        <w:rPr>
          <w:lang w:val="en-US"/>
        </w:rPr>
        <w:t>in need of help</w:t>
      </w:r>
      <w:r w:rsidR="00D85686" w:rsidRPr="00D16B79">
        <w:rPr>
          <w:lang w:val="en-US"/>
        </w:rPr>
        <w:t>, driving donations to the charity</w:t>
      </w:r>
      <w:r w:rsidRPr="00D16B79">
        <w:rPr>
          <w:lang w:val="en-US"/>
        </w:rPr>
        <w:t>.</w:t>
      </w:r>
      <w:r w:rsidR="00E455BA" w:rsidRPr="00D16B79">
        <w:rPr>
          <w:lang w:val="en-US"/>
        </w:rPr>
        <w:t xml:space="preserve"> </w:t>
      </w:r>
      <w:r w:rsidR="00EA5908" w:rsidRPr="00D16B79">
        <w:rPr>
          <w:lang w:val="en-US"/>
        </w:rPr>
        <w:t>This</w:t>
      </w:r>
      <w:r w:rsidR="00D87751" w:rsidRPr="00D16B79">
        <w:rPr>
          <w:lang w:val="en-US"/>
        </w:rPr>
        <w:t>,</w:t>
      </w:r>
      <w:r w:rsidR="00EA5908" w:rsidRPr="00D16B79">
        <w:rPr>
          <w:lang w:val="en-US"/>
        </w:rPr>
        <w:t xml:space="preserve"> </w:t>
      </w:r>
      <w:r w:rsidR="00EA6EB4" w:rsidRPr="00D16B79">
        <w:rPr>
          <w:lang w:val="en-US"/>
        </w:rPr>
        <w:t xml:space="preserve">combined </w:t>
      </w:r>
      <w:r w:rsidR="00EA5908" w:rsidRPr="00D16B79">
        <w:rPr>
          <w:lang w:val="en-US"/>
        </w:rPr>
        <w:t xml:space="preserve">with </w:t>
      </w:r>
      <w:r w:rsidR="00C13C5B" w:rsidRPr="00D16B79">
        <w:rPr>
          <w:lang w:val="en-US"/>
        </w:rPr>
        <w:t xml:space="preserve">coded </w:t>
      </w:r>
      <w:r w:rsidR="00EA5908" w:rsidRPr="00D16B79">
        <w:rPr>
          <w:lang w:val="en-US"/>
        </w:rPr>
        <w:t>open</w:t>
      </w:r>
      <w:r w:rsidR="00EA6EB4" w:rsidRPr="00D16B79">
        <w:rPr>
          <w:lang w:val="en-US"/>
        </w:rPr>
        <w:t>-</w:t>
      </w:r>
      <w:r w:rsidR="00EA5908" w:rsidRPr="00D16B79">
        <w:rPr>
          <w:lang w:val="en-US"/>
        </w:rPr>
        <w:t xml:space="preserve">ended </w:t>
      </w:r>
      <w:r w:rsidR="00C13C5B" w:rsidRPr="00D16B79">
        <w:rPr>
          <w:lang w:val="en-US"/>
        </w:rPr>
        <w:t>responses</w:t>
      </w:r>
      <w:r w:rsidR="00D87751" w:rsidRPr="00D16B79">
        <w:rPr>
          <w:lang w:val="en-US"/>
        </w:rPr>
        <w:t xml:space="preserve">, </w:t>
      </w:r>
      <w:r w:rsidR="00422E03">
        <w:rPr>
          <w:lang w:val="en-US"/>
        </w:rPr>
        <w:t>supports our prediction</w:t>
      </w:r>
      <w:r w:rsidR="00D87751" w:rsidRPr="00D16B79">
        <w:rPr>
          <w:lang w:val="en-US"/>
        </w:rPr>
        <w:t xml:space="preserve"> that </w:t>
      </w:r>
      <w:r w:rsidR="00C13C5B" w:rsidRPr="00D16B79">
        <w:rPr>
          <w:lang w:val="en-US"/>
        </w:rPr>
        <w:t xml:space="preserve">donation </w:t>
      </w:r>
      <w:r w:rsidR="00EA5908" w:rsidRPr="00D16B79">
        <w:rPr>
          <w:lang w:val="en-US"/>
        </w:rPr>
        <w:t xml:space="preserve">decisions </w:t>
      </w:r>
      <w:r w:rsidR="00422E03">
        <w:rPr>
          <w:lang w:val="en-US"/>
        </w:rPr>
        <w:t>are largely</w:t>
      </w:r>
      <w:r w:rsidR="00EA5908" w:rsidRPr="00D16B79">
        <w:rPr>
          <w:lang w:val="en-US"/>
        </w:rPr>
        <w:t xml:space="preserve"> based on</w:t>
      </w:r>
      <w:r w:rsidR="00422E03">
        <w:rPr>
          <w:lang w:val="en-US"/>
        </w:rPr>
        <w:t xml:space="preserve"> </w:t>
      </w:r>
      <w:r w:rsidR="000B1982">
        <w:rPr>
          <w:lang w:val="en-US"/>
        </w:rPr>
        <w:t xml:space="preserve">perceptions of </w:t>
      </w:r>
      <w:r w:rsidR="00422E03">
        <w:rPr>
          <w:lang w:val="en-US"/>
        </w:rPr>
        <w:t>relative</w:t>
      </w:r>
      <w:r w:rsidR="00EA5908" w:rsidRPr="00D16B79">
        <w:rPr>
          <w:lang w:val="en-US"/>
        </w:rPr>
        <w:t xml:space="preserve"> need in joint </w:t>
      </w:r>
      <w:r w:rsidR="00422E03">
        <w:rPr>
          <w:lang w:val="en-US"/>
        </w:rPr>
        <w:t>compared to</w:t>
      </w:r>
      <w:r w:rsidR="00EA5908" w:rsidRPr="00D16B79">
        <w:rPr>
          <w:lang w:val="en-US"/>
        </w:rPr>
        <w:t xml:space="preserve"> separate evaluation. </w:t>
      </w:r>
      <w:r w:rsidR="00D85686" w:rsidRPr="00D16B79">
        <w:rPr>
          <w:lang w:val="en-US"/>
        </w:rPr>
        <w:t>We</w:t>
      </w:r>
      <w:r w:rsidR="00AE13F5" w:rsidRPr="00D16B79">
        <w:rPr>
          <w:lang w:val="en-US"/>
        </w:rPr>
        <w:t xml:space="preserve"> </w:t>
      </w:r>
      <w:r w:rsidR="00D85686" w:rsidRPr="00D16B79">
        <w:rPr>
          <w:lang w:val="en-US"/>
        </w:rPr>
        <w:t xml:space="preserve">replicated Study 1 with a sample of undergraduate students (see Supplemental Study </w:t>
      </w:r>
      <w:r w:rsidR="00AE13F5" w:rsidRPr="00D16B79">
        <w:rPr>
          <w:lang w:val="en-US"/>
        </w:rPr>
        <w:t>S</w:t>
      </w:r>
      <w:r w:rsidR="00D85686" w:rsidRPr="00D16B79">
        <w:rPr>
          <w:lang w:val="en-US"/>
        </w:rPr>
        <w:t>1</w:t>
      </w:r>
      <w:r w:rsidR="0018527D" w:rsidRPr="00D16B79">
        <w:rPr>
          <w:lang w:val="en-US"/>
        </w:rPr>
        <w:t xml:space="preserve"> in Web Appendix C</w:t>
      </w:r>
      <w:r w:rsidR="00D85686" w:rsidRPr="00D16B79">
        <w:rPr>
          <w:lang w:val="en-US"/>
        </w:rPr>
        <w:t>).</w:t>
      </w:r>
    </w:p>
    <w:p w14:paraId="0CE0AF3A" w14:textId="77777777" w:rsidR="00DA4D3B" w:rsidRPr="00D16B79" w:rsidRDefault="00DA4D3B" w:rsidP="00F109D9">
      <w:pPr>
        <w:spacing w:line="480" w:lineRule="auto"/>
        <w:ind w:firstLine="720"/>
        <w:rPr>
          <w:lang w:val="en-US" w:eastAsia="en-US"/>
        </w:rPr>
      </w:pPr>
    </w:p>
    <w:p w14:paraId="7F198D48" w14:textId="5058ADBD" w:rsidR="00206117" w:rsidRPr="00D16B79" w:rsidRDefault="00206117" w:rsidP="00D87751">
      <w:pPr>
        <w:pStyle w:val="Heading1"/>
      </w:pPr>
      <w:r w:rsidRPr="00D16B79">
        <w:rPr>
          <w:rFonts w:eastAsia="Calibri"/>
          <w:lang w:eastAsia="en-US"/>
        </w:rPr>
        <w:t xml:space="preserve">STUDY </w:t>
      </w:r>
      <w:r w:rsidR="00E455BA" w:rsidRPr="00D16B79">
        <w:rPr>
          <w:rFonts w:eastAsia="Calibri"/>
          <w:lang w:eastAsia="en-US"/>
        </w:rPr>
        <w:t>2</w:t>
      </w:r>
      <w:r w:rsidRPr="00D16B79">
        <w:rPr>
          <w:rFonts w:eastAsia="Calibri"/>
          <w:lang w:eastAsia="en-US"/>
        </w:rPr>
        <w:t xml:space="preserve">: </w:t>
      </w:r>
      <w:r w:rsidR="00A67007" w:rsidRPr="00D16B79">
        <w:t xml:space="preserve">JOINT </w:t>
      </w:r>
      <w:r w:rsidR="00F85045" w:rsidRPr="00D16B79">
        <w:t>VERSUS</w:t>
      </w:r>
      <w:r w:rsidR="00A67007" w:rsidRPr="00D16B79">
        <w:t xml:space="preserve"> SEPARATE EVALUATION</w:t>
      </w:r>
      <w:r w:rsidR="00F85045" w:rsidRPr="00D16B79">
        <w:t xml:space="preserve"> – </w:t>
      </w:r>
      <w:r w:rsidR="00A67007" w:rsidRPr="00D16B79">
        <w:t>INDIVIDUAL</w:t>
      </w:r>
      <w:r w:rsidR="00487089" w:rsidRPr="00D16B79">
        <w:t xml:space="preserve"> FUNDRAISERS</w:t>
      </w:r>
    </w:p>
    <w:p w14:paraId="2A546484" w14:textId="77777777" w:rsidR="00F109D9" w:rsidRPr="00D16B79" w:rsidRDefault="00F109D9" w:rsidP="00F109D9">
      <w:pPr>
        <w:spacing w:line="480" w:lineRule="auto"/>
        <w:rPr>
          <w:lang w:val="en-US" w:eastAsia="en-US"/>
        </w:rPr>
      </w:pPr>
    </w:p>
    <w:p w14:paraId="5306CBF4" w14:textId="6EEFC4E4" w:rsidR="00206117" w:rsidRPr="00D16B79" w:rsidRDefault="00206117" w:rsidP="00F109D9">
      <w:pPr>
        <w:spacing w:line="480" w:lineRule="auto"/>
        <w:ind w:firstLine="720"/>
        <w:rPr>
          <w:lang w:val="en-US"/>
        </w:rPr>
      </w:pPr>
      <w:r w:rsidRPr="00D16B79">
        <w:rPr>
          <w:lang w:val="en-US"/>
        </w:rPr>
        <w:t xml:space="preserve">In Study </w:t>
      </w:r>
      <w:r w:rsidR="00E455BA" w:rsidRPr="00D16B79">
        <w:rPr>
          <w:lang w:val="en-US"/>
        </w:rPr>
        <w:t>2</w:t>
      </w:r>
      <w:r w:rsidR="00FD0663" w:rsidRPr="00D16B79">
        <w:rPr>
          <w:lang w:val="en-US"/>
        </w:rPr>
        <w:t>,</w:t>
      </w:r>
      <w:r w:rsidRPr="00D16B79">
        <w:rPr>
          <w:lang w:val="en-US"/>
        </w:rPr>
        <w:t xml:space="preserve"> we explore</w:t>
      </w:r>
      <w:r w:rsidR="000366D2" w:rsidRPr="00D16B79">
        <w:rPr>
          <w:lang w:val="en-US"/>
        </w:rPr>
        <w:t>d</w:t>
      </w:r>
      <w:r w:rsidRPr="00D16B79">
        <w:rPr>
          <w:lang w:val="en-US"/>
        </w:rPr>
        <w:t xml:space="preserve"> the</w:t>
      </w:r>
      <w:r w:rsidR="00FD0663" w:rsidRPr="00D16B79">
        <w:rPr>
          <w:lang w:val="en-US"/>
        </w:rPr>
        <w:t xml:space="preserve"> effect of differences in goal progress on</w:t>
      </w:r>
      <w:r w:rsidRPr="00D16B79">
        <w:rPr>
          <w:lang w:val="en-US"/>
        </w:rPr>
        <w:t xml:space="preserve"> helping behavior using individual fundraisers in a scenario taken directly from previous work </w:t>
      </w:r>
      <w:r w:rsidRPr="00D16B79">
        <w:rPr>
          <w:lang w:val="en-US"/>
        </w:rPr>
        <w:fldChar w:fldCharType="begin"/>
      </w:r>
      <w:r w:rsidR="00181321">
        <w:rPr>
          <w:lang w:val="en-US"/>
        </w:rPr>
        <w:instrText xml:space="preserve"> ADDIN ZOTERO_ITEM CSL_CITATION {"citationID":"fTynoLGo","properties":{"formattedCitation":"(Cryder, Loewenstein, and Seltman 2013)","plainCitation":"(Cryder, Loewenstein, and Seltman 2013)","noteIndex":0},"citationItems":[{"id":2335,"uris":["http://zotero.org/users/4606674/items/KQ6ICYYK"],"itemData":{"id":2335,"type":"article-journal","abstract":"People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E."},{"family":"Loewenstein","given":"George"},{"family":"Seltman","given":"Howard"}],"issued":{"date-parts":[["2013",11,1]]}}}],"schema":"https://github.com/citation-style-language/schema/raw/master/csl-citation.json"} </w:instrText>
      </w:r>
      <w:r w:rsidRPr="00D16B79">
        <w:rPr>
          <w:lang w:val="en-US"/>
        </w:rPr>
        <w:fldChar w:fldCharType="separate"/>
      </w:r>
      <w:r w:rsidR="00FA5441" w:rsidRPr="00D16B79">
        <w:rPr>
          <w:rFonts w:ascii="Times New Roman" w:hAnsi="Times New Roman"/>
          <w:lang w:val="en-US"/>
        </w:rPr>
        <w:t>(Cryder, Loewenstein, and Seltman 2013)</w:t>
      </w:r>
      <w:r w:rsidRPr="00D16B79">
        <w:rPr>
          <w:lang w:val="en-US"/>
        </w:rPr>
        <w:fldChar w:fldCharType="end"/>
      </w:r>
      <w:r w:rsidRPr="00D16B79">
        <w:rPr>
          <w:lang w:val="en-US"/>
        </w:rPr>
        <w:t xml:space="preserve"> and test</w:t>
      </w:r>
      <w:r w:rsidR="000366D2" w:rsidRPr="00D16B79">
        <w:rPr>
          <w:lang w:val="en-US"/>
        </w:rPr>
        <w:t>ed</w:t>
      </w:r>
      <w:r w:rsidRPr="00D16B79">
        <w:rPr>
          <w:lang w:val="en-US"/>
        </w:rPr>
        <w:t xml:space="preserve"> our conceptual framework </w:t>
      </w:r>
      <w:r w:rsidR="00FD0663" w:rsidRPr="00D16B79">
        <w:rPr>
          <w:lang w:val="en-US"/>
        </w:rPr>
        <w:t xml:space="preserve">by comparing </w:t>
      </w:r>
      <w:r w:rsidRPr="00D16B79">
        <w:rPr>
          <w:lang w:val="en-US"/>
        </w:rPr>
        <w:t>joint v</w:t>
      </w:r>
      <w:r w:rsidR="0033329F" w:rsidRPr="00D16B79">
        <w:rPr>
          <w:lang w:val="en-US"/>
        </w:rPr>
        <w:t>ersus</w:t>
      </w:r>
      <w:r w:rsidRPr="00D16B79">
        <w:rPr>
          <w:lang w:val="en-US"/>
        </w:rPr>
        <w:t xml:space="preserve"> separate evaluation formats. </w:t>
      </w:r>
      <w:r w:rsidR="000F2BE0" w:rsidRPr="00D16B79">
        <w:rPr>
          <w:lang w:val="en-US"/>
        </w:rPr>
        <w:t>In this scenario, participants decided how much to donate to student</w:t>
      </w:r>
      <w:r w:rsidR="00E55B58" w:rsidRPr="00D16B79">
        <w:rPr>
          <w:lang w:val="en-US"/>
        </w:rPr>
        <w:t xml:space="preserve"> fundraisers</w:t>
      </w:r>
      <w:r w:rsidR="000F2BE0" w:rsidRPr="00D16B79">
        <w:rPr>
          <w:lang w:val="en-US"/>
        </w:rPr>
        <w:t xml:space="preserve">. </w:t>
      </w:r>
      <w:r w:rsidRPr="00D16B79">
        <w:rPr>
          <w:lang w:val="en-US"/>
        </w:rPr>
        <w:t>We predict</w:t>
      </w:r>
      <w:r w:rsidR="0033329F" w:rsidRPr="00D16B79">
        <w:rPr>
          <w:lang w:val="en-US"/>
        </w:rPr>
        <w:t>ed</w:t>
      </w:r>
      <w:r w:rsidRPr="00D16B79">
        <w:rPr>
          <w:lang w:val="en-US"/>
        </w:rPr>
        <w:t xml:space="preserve"> that joint presentation of the </w:t>
      </w:r>
      <w:r w:rsidR="008663DC" w:rsidRPr="00D16B79">
        <w:rPr>
          <w:lang w:val="en-US"/>
        </w:rPr>
        <w:t xml:space="preserve">fundraisers </w:t>
      </w:r>
      <w:r w:rsidRPr="00D16B79">
        <w:rPr>
          <w:lang w:val="en-US"/>
        </w:rPr>
        <w:t>w</w:t>
      </w:r>
      <w:r w:rsidR="0033329F" w:rsidRPr="00D16B79">
        <w:rPr>
          <w:lang w:val="en-US"/>
        </w:rPr>
        <w:t>ould</w:t>
      </w:r>
      <w:r w:rsidRPr="00D16B79">
        <w:rPr>
          <w:lang w:val="en-US"/>
        </w:rPr>
        <w:t xml:space="preserve"> result in more donations to the </w:t>
      </w:r>
      <w:r w:rsidR="0033329F" w:rsidRPr="00D16B79">
        <w:rPr>
          <w:lang w:val="en-US"/>
        </w:rPr>
        <w:t xml:space="preserve">one </w:t>
      </w:r>
      <w:r w:rsidR="003C404E" w:rsidRPr="00D16B79">
        <w:rPr>
          <w:lang w:val="en-US"/>
        </w:rPr>
        <w:t>farther</w:t>
      </w:r>
      <w:r w:rsidRPr="00D16B79">
        <w:rPr>
          <w:lang w:val="en-US"/>
        </w:rPr>
        <w:t xml:space="preserve"> from her goal</w:t>
      </w:r>
      <w:r w:rsidR="0033329F" w:rsidRPr="00D16B79">
        <w:rPr>
          <w:lang w:val="en-US"/>
        </w:rPr>
        <w:t>,</w:t>
      </w:r>
      <w:r w:rsidRPr="00D16B79">
        <w:rPr>
          <w:lang w:val="en-US"/>
        </w:rPr>
        <w:t xml:space="preserve"> as she will be seen as </w:t>
      </w:r>
      <w:r w:rsidR="00B84B7B">
        <w:rPr>
          <w:lang w:val="en-US"/>
        </w:rPr>
        <w:t>more in need of help</w:t>
      </w:r>
      <w:r w:rsidRPr="00D16B79">
        <w:rPr>
          <w:lang w:val="en-US"/>
        </w:rPr>
        <w:t>.</w:t>
      </w:r>
      <w:r w:rsidR="008F73D0" w:rsidRPr="00D16B79">
        <w:rPr>
          <w:lang w:val="en-US"/>
        </w:rPr>
        <w:t xml:space="preserve"> </w:t>
      </w:r>
      <w:r w:rsidR="0029433A" w:rsidRPr="00D16B79">
        <w:rPr>
          <w:lang w:val="en-US"/>
        </w:rPr>
        <w:t xml:space="preserve">We also test whether sympathy towards the fundraiser farther from their goal mediates our effect; </w:t>
      </w:r>
      <w:r w:rsidR="00940FFB" w:rsidRPr="00D16B79">
        <w:rPr>
          <w:lang w:val="en-US"/>
        </w:rPr>
        <w:t>it is possible that participants feel greater sympathy for a fundraiser who has raised less money in joint over separate evaluations and that this emotional connection is what drives donations.</w:t>
      </w:r>
      <w:r w:rsidR="00CA092A">
        <w:rPr>
          <w:lang w:val="en-US"/>
        </w:rPr>
        <w:t xml:space="preserve"> </w:t>
      </w:r>
    </w:p>
    <w:p w14:paraId="3C451421" w14:textId="43EE6E6D" w:rsidR="00AD4A5A" w:rsidRPr="00D16B79" w:rsidRDefault="00AD4A5A" w:rsidP="00F55739">
      <w:pPr>
        <w:pStyle w:val="Heading2"/>
      </w:pPr>
      <w:bookmarkStart w:id="16" w:name="_Hlk72426628"/>
      <w:r w:rsidRPr="00D16B79">
        <w:lastRenderedPageBreak/>
        <w:t>Method</w:t>
      </w:r>
    </w:p>
    <w:p w14:paraId="4122173F" w14:textId="36FB39D4" w:rsidR="00AD4A5A" w:rsidRPr="00D16B79" w:rsidRDefault="00AD4A5A" w:rsidP="0012715C">
      <w:pPr>
        <w:spacing w:line="480" w:lineRule="auto"/>
        <w:ind w:firstLine="720"/>
        <w:rPr>
          <w:lang w:val="en-US"/>
        </w:rPr>
      </w:pPr>
      <w:r w:rsidRPr="00D16B79">
        <w:rPr>
          <w:i/>
          <w:iCs/>
          <w:lang w:val="en-US"/>
        </w:rPr>
        <w:t xml:space="preserve">Participants and design. </w:t>
      </w:r>
      <w:r w:rsidR="003E3A46" w:rsidRPr="00D16B79">
        <w:rPr>
          <w:lang w:val="en-US"/>
        </w:rPr>
        <w:t xml:space="preserve">We recruited 299 US </w:t>
      </w:r>
      <w:r w:rsidR="0033329F" w:rsidRPr="00D16B79">
        <w:rPr>
          <w:lang w:val="en-US"/>
        </w:rPr>
        <w:t>p</w:t>
      </w:r>
      <w:r w:rsidR="003E3A46" w:rsidRPr="00D16B79">
        <w:rPr>
          <w:lang w:val="en-US"/>
        </w:rPr>
        <w:t xml:space="preserve">articipants from Amazon MTurk (30.4% </w:t>
      </w:r>
      <w:r w:rsidR="007E7906" w:rsidRPr="00D16B79">
        <w:rPr>
          <w:lang w:val="en-US"/>
        </w:rPr>
        <w:t>women</w:t>
      </w:r>
      <w:r w:rsidR="003E3A46" w:rsidRPr="00D16B79">
        <w:rPr>
          <w:lang w:val="en-US"/>
        </w:rPr>
        <w:t>, M</w:t>
      </w:r>
      <w:r w:rsidR="003E3A46" w:rsidRPr="00D16B79">
        <w:rPr>
          <w:vertAlign w:val="subscript"/>
          <w:lang w:val="en-US"/>
        </w:rPr>
        <w:t>age</w:t>
      </w:r>
      <w:r w:rsidR="003E3A46" w:rsidRPr="00D16B79">
        <w:rPr>
          <w:lang w:val="en-US"/>
        </w:rPr>
        <w:t xml:space="preserve"> = 36.12)</w:t>
      </w:r>
      <w:r w:rsidR="003B522A" w:rsidRPr="00D16B79">
        <w:rPr>
          <w:lang w:val="en-US"/>
        </w:rPr>
        <w:t xml:space="preserve"> through </w:t>
      </w:r>
      <w:proofErr w:type="spellStart"/>
      <w:r w:rsidR="003B522A" w:rsidRPr="00D16B79">
        <w:rPr>
          <w:lang w:val="en-US"/>
        </w:rPr>
        <w:t>CloudResearch</w:t>
      </w:r>
      <w:proofErr w:type="spellEnd"/>
      <w:r w:rsidR="003E3A46" w:rsidRPr="00D16B79">
        <w:rPr>
          <w:lang w:val="en-US"/>
        </w:rPr>
        <w:t xml:space="preserve">. This study </w:t>
      </w:r>
      <w:r w:rsidR="0033329F" w:rsidRPr="00D16B79">
        <w:rPr>
          <w:lang w:val="en-US"/>
        </w:rPr>
        <w:t>had</w:t>
      </w:r>
      <w:r w:rsidR="003E3A46" w:rsidRPr="00D16B79">
        <w:rPr>
          <w:lang w:val="en-US"/>
        </w:rPr>
        <w:t xml:space="preserve"> a </w:t>
      </w:r>
      <w:r w:rsidR="00F37E7F" w:rsidRPr="00D16B79">
        <w:rPr>
          <w:lang w:val="en-US"/>
        </w:rPr>
        <w:t>between-</w:t>
      </w:r>
      <w:r w:rsidR="00F37E7F" w:rsidRPr="00D16B79">
        <w:rPr>
          <w:rFonts w:asciiTheme="majorHAnsi" w:hAnsiTheme="majorHAnsi" w:cstheme="majorHAnsi"/>
          <w:lang w:val="en-US"/>
        </w:rPr>
        <w:t xml:space="preserve">subjects </w:t>
      </w:r>
      <w:r w:rsidR="0033329F" w:rsidRPr="00D16B79">
        <w:rPr>
          <w:lang w:val="en-US"/>
        </w:rPr>
        <w:t>design</w:t>
      </w:r>
      <w:r w:rsidR="009948BE" w:rsidRPr="00D16B79">
        <w:rPr>
          <w:lang w:val="en-US"/>
        </w:rPr>
        <w:t xml:space="preserve"> with three conditions</w:t>
      </w:r>
      <w:r w:rsidR="003E3A46" w:rsidRPr="00D16B79">
        <w:rPr>
          <w:lang w:val="en-US"/>
        </w:rPr>
        <w:t xml:space="preserve"> (Evaluation type: </w:t>
      </w:r>
      <w:r w:rsidR="0033329F" w:rsidRPr="00D16B79">
        <w:rPr>
          <w:lang w:val="en-US"/>
        </w:rPr>
        <w:t>j</w:t>
      </w:r>
      <w:r w:rsidR="003E3A46" w:rsidRPr="00D16B79">
        <w:rPr>
          <w:lang w:val="en-US"/>
        </w:rPr>
        <w:t>oint vs</w:t>
      </w:r>
      <w:r w:rsidR="0033329F" w:rsidRPr="00D16B79">
        <w:rPr>
          <w:lang w:val="en-US"/>
        </w:rPr>
        <w:t>. s</w:t>
      </w:r>
      <w:r w:rsidR="003E3A46" w:rsidRPr="00D16B79">
        <w:rPr>
          <w:lang w:val="en-US"/>
        </w:rPr>
        <w:t>eparate far vs</w:t>
      </w:r>
      <w:r w:rsidR="0033329F" w:rsidRPr="00D16B79">
        <w:rPr>
          <w:lang w:val="en-US"/>
        </w:rPr>
        <w:t>.</w:t>
      </w:r>
      <w:r w:rsidR="003E3A46" w:rsidRPr="00D16B79">
        <w:rPr>
          <w:lang w:val="en-US"/>
        </w:rPr>
        <w:t xml:space="preserve"> </w:t>
      </w:r>
      <w:r w:rsidR="0033329F" w:rsidRPr="00D16B79">
        <w:rPr>
          <w:lang w:val="en-US"/>
        </w:rPr>
        <w:t>s</w:t>
      </w:r>
      <w:r w:rsidR="003E3A46" w:rsidRPr="00D16B79">
        <w:rPr>
          <w:lang w:val="en-US"/>
        </w:rPr>
        <w:t xml:space="preserve">eparate close). </w:t>
      </w:r>
    </w:p>
    <w:p w14:paraId="33A47E44" w14:textId="4BE04C57" w:rsidR="00E130A0" w:rsidRPr="00D16B79" w:rsidRDefault="00AD4A5A" w:rsidP="00573259">
      <w:pPr>
        <w:spacing w:line="480" w:lineRule="auto"/>
        <w:ind w:firstLine="720"/>
        <w:rPr>
          <w:lang w:val="en-US"/>
        </w:rPr>
      </w:pPr>
      <w:r w:rsidRPr="00D16B79">
        <w:rPr>
          <w:i/>
          <w:iCs/>
          <w:lang w:val="en-US"/>
        </w:rPr>
        <w:t>Procedures.</w:t>
      </w:r>
      <w:r w:rsidR="00E473EF" w:rsidRPr="00D16B79">
        <w:rPr>
          <w:i/>
          <w:iCs/>
          <w:lang w:val="en-US"/>
        </w:rPr>
        <w:t xml:space="preserve"> </w:t>
      </w:r>
      <w:r w:rsidR="00E473EF" w:rsidRPr="00D16B79">
        <w:rPr>
          <w:lang w:val="en-US"/>
        </w:rPr>
        <w:t>All participants were presented with information about Olivia and/or Sienna (counterbalanced), 7th-grade students who need to sell 100 candy bars (cost: $1 each) to meet a quota for their school sports team fundraiser. The student(s) needed to sell either 2 or 32 more candy bars to meet the</w:t>
      </w:r>
      <w:r w:rsidR="003F3BEE" w:rsidRPr="00D16B79">
        <w:rPr>
          <w:lang w:val="en-US"/>
        </w:rPr>
        <w:t>ir</w:t>
      </w:r>
      <w:r w:rsidR="00E473EF" w:rsidRPr="00D16B79">
        <w:rPr>
          <w:lang w:val="en-US"/>
        </w:rPr>
        <w:t xml:space="preserve"> goal</w:t>
      </w:r>
      <w:r w:rsidR="00DB515A" w:rsidRPr="00D16B79">
        <w:rPr>
          <w:lang w:val="en-US"/>
        </w:rPr>
        <w:t xml:space="preserve">. </w:t>
      </w:r>
      <w:r w:rsidR="00E473EF" w:rsidRPr="00D16B79">
        <w:rPr>
          <w:lang w:val="en-US"/>
        </w:rPr>
        <w:t xml:space="preserve">In the </w:t>
      </w:r>
      <w:r w:rsidR="00231839" w:rsidRPr="00D16B79">
        <w:rPr>
          <w:lang w:val="en-US"/>
        </w:rPr>
        <w:t>j</w:t>
      </w:r>
      <w:r w:rsidR="00E473EF" w:rsidRPr="00D16B79">
        <w:rPr>
          <w:lang w:val="en-US"/>
        </w:rPr>
        <w:t xml:space="preserve">oint </w:t>
      </w:r>
      <w:r w:rsidR="0033329F" w:rsidRPr="00D16B79">
        <w:rPr>
          <w:lang w:val="en-US"/>
        </w:rPr>
        <w:t>e</w:t>
      </w:r>
      <w:r w:rsidR="00E473EF" w:rsidRPr="00D16B79">
        <w:rPr>
          <w:lang w:val="en-US"/>
        </w:rPr>
        <w:t>valuation condition both students were presented, and one was close</w:t>
      </w:r>
      <w:r w:rsidR="00A82643" w:rsidRPr="00D16B79">
        <w:rPr>
          <w:lang w:val="en-US"/>
        </w:rPr>
        <w:t>r</w:t>
      </w:r>
      <w:r w:rsidR="00E473EF" w:rsidRPr="00D16B79">
        <w:rPr>
          <w:lang w:val="en-US"/>
        </w:rPr>
        <w:t xml:space="preserve"> to her goal (needs to sell 2 more candy bars) while the other was </w:t>
      </w:r>
      <w:r w:rsidR="003C404E" w:rsidRPr="00D16B79">
        <w:rPr>
          <w:lang w:val="en-US"/>
        </w:rPr>
        <w:t>farther</w:t>
      </w:r>
      <w:r w:rsidR="00E473EF" w:rsidRPr="00D16B79">
        <w:rPr>
          <w:lang w:val="en-US"/>
        </w:rPr>
        <w:t xml:space="preserve"> from her goal (needs to sell 32 more candy bars). In the </w:t>
      </w:r>
      <w:r w:rsidR="0033329F" w:rsidRPr="00D16B79">
        <w:rPr>
          <w:lang w:val="en-US"/>
        </w:rPr>
        <w:t>s</w:t>
      </w:r>
      <w:r w:rsidR="00E473EF" w:rsidRPr="00D16B79">
        <w:rPr>
          <w:lang w:val="en-US"/>
        </w:rPr>
        <w:t xml:space="preserve">eparate </w:t>
      </w:r>
      <w:r w:rsidR="0033329F" w:rsidRPr="00D16B79">
        <w:rPr>
          <w:lang w:val="en-US"/>
        </w:rPr>
        <w:t>e</w:t>
      </w:r>
      <w:r w:rsidR="00E473EF" w:rsidRPr="00D16B79">
        <w:rPr>
          <w:lang w:val="en-US"/>
        </w:rPr>
        <w:t>valuation conditions only one student was presented, either close to or far from her goal</w:t>
      </w:r>
      <w:r w:rsidR="00E130A0" w:rsidRPr="00D16B79">
        <w:rPr>
          <w:lang w:val="en-US"/>
        </w:rPr>
        <w:t xml:space="preserve">. </w:t>
      </w:r>
      <w:r w:rsidR="00F46F51" w:rsidRPr="00D16B79">
        <w:rPr>
          <w:lang w:val="en-US"/>
        </w:rPr>
        <w:t xml:space="preserve">The stimuli </w:t>
      </w:r>
      <w:r w:rsidR="00FC6C8C" w:rsidRPr="00D16B79">
        <w:rPr>
          <w:lang w:val="en-US"/>
        </w:rPr>
        <w:t xml:space="preserve">were </w:t>
      </w:r>
      <w:r w:rsidR="00E130A0" w:rsidRPr="00D16B79">
        <w:rPr>
          <w:lang w:val="en-US"/>
        </w:rPr>
        <w:t xml:space="preserve">based on </w:t>
      </w:r>
      <w:r w:rsidR="005A4D99" w:rsidRPr="00D16B79">
        <w:rPr>
          <w:lang w:val="en-US"/>
        </w:rPr>
        <w:t xml:space="preserve">previous research using </w:t>
      </w:r>
      <w:r w:rsidR="00E130A0" w:rsidRPr="00D16B79">
        <w:rPr>
          <w:lang w:val="en-US"/>
        </w:rPr>
        <w:t>this</w:t>
      </w:r>
      <w:r w:rsidR="005A4D99" w:rsidRPr="00D16B79">
        <w:rPr>
          <w:lang w:val="en-US"/>
        </w:rPr>
        <w:t xml:space="preserve"> scenario</w:t>
      </w:r>
      <w:r w:rsidR="00DB515A" w:rsidRPr="00D16B79">
        <w:rPr>
          <w:lang w:val="en-US"/>
        </w:rPr>
        <w:t xml:space="preserve"> (Cryder, Loewenstein</w:t>
      </w:r>
      <w:r w:rsidR="0033329F" w:rsidRPr="00D16B79">
        <w:rPr>
          <w:lang w:val="en-US"/>
        </w:rPr>
        <w:t>, and</w:t>
      </w:r>
      <w:r w:rsidR="00DB515A" w:rsidRPr="00D16B79">
        <w:rPr>
          <w:lang w:val="en-US"/>
        </w:rPr>
        <w:t xml:space="preserve"> Seltman 2013)</w:t>
      </w:r>
      <w:r w:rsidR="00E473EF" w:rsidRPr="00D16B79">
        <w:rPr>
          <w:lang w:val="en-US"/>
        </w:rPr>
        <w:t xml:space="preserve">. </w:t>
      </w:r>
    </w:p>
    <w:p w14:paraId="0E283326" w14:textId="6CC401D7" w:rsidR="00C85E0D" w:rsidRPr="00D16B79" w:rsidRDefault="00E473EF" w:rsidP="00573259">
      <w:pPr>
        <w:spacing w:line="480" w:lineRule="auto"/>
        <w:ind w:firstLine="720"/>
        <w:rPr>
          <w:lang w:val="en-US"/>
        </w:rPr>
      </w:pPr>
      <w:r w:rsidRPr="00D16B79">
        <w:rPr>
          <w:lang w:val="en-US"/>
        </w:rPr>
        <w:t>We then measured participants</w:t>
      </w:r>
      <w:r w:rsidR="0033329F" w:rsidRPr="00D16B79">
        <w:rPr>
          <w:lang w:val="en-US"/>
        </w:rPr>
        <w:t>’</w:t>
      </w:r>
      <w:r w:rsidRPr="00D16B79">
        <w:rPr>
          <w:lang w:val="en-US"/>
        </w:rPr>
        <w:t xml:space="preserve"> likelihood of buying a candy bar from </w:t>
      </w:r>
      <w:r w:rsidR="00726780" w:rsidRPr="00D16B79">
        <w:rPr>
          <w:lang w:val="en-US"/>
        </w:rPr>
        <w:t>each</w:t>
      </w:r>
      <w:r w:rsidRPr="00D16B79">
        <w:rPr>
          <w:lang w:val="en-US"/>
        </w:rPr>
        <w:t xml:space="preserve"> student (1 </w:t>
      </w:r>
      <w:r w:rsidR="0033329F" w:rsidRPr="00D16B79">
        <w:rPr>
          <w:lang w:val="en-US"/>
        </w:rPr>
        <w:t>=</w:t>
      </w:r>
      <w:r w:rsidRPr="00D16B79">
        <w:rPr>
          <w:lang w:val="en-US"/>
        </w:rPr>
        <w:t xml:space="preserve"> </w:t>
      </w:r>
      <w:r w:rsidR="00D4226D" w:rsidRPr="00D16B79">
        <w:rPr>
          <w:lang w:val="en-US"/>
        </w:rPr>
        <w:t>“</w:t>
      </w:r>
      <w:r w:rsidR="0033329F" w:rsidRPr="00D16B79">
        <w:rPr>
          <w:lang w:val="en-US"/>
        </w:rPr>
        <w:t>n</w:t>
      </w:r>
      <w:r w:rsidRPr="00D16B79">
        <w:rPr>
          <w:lang w:val="en-US"/>
        </w:rPr>
        <w:t>ot likely at all</w:t>
      </w:r>
      <w:r w:rsidR="00D4226D" w:rsidRPr="00D16B79">
        <w:rPr>
          <w:lang w:val="en-US"/>
        </w:rPr>
        <w:t>”</w:t>
      </w:r>
      <w:r w:rsidR="00D4493D" w:rsidRPr="00D16B79">
        <w:rPr>
          <w:lang w:val="en-US"/>
        </w:rPr>
        <w:t>,</w:t>
      </w:r>
      <w:r w:rsidRPr="00D16B79">
        <w:rPr>
          <w:lang w:val="en-US"/>
        </w:rPr>
        <w:t xml:space="preserve"> to 7 </w:t>
      </w:r>
      <w:r w:rsidR="0033329F" w:rsidRPr="00D16B79">
        <w:rPr>
          <w:lang w:val="en-US"/>
        </w:rPr>
        <w:t xml:space="preserve">= </w:t>
      </w:r>
      <w:r w:rsidR="00D4226D" w:rsidRPr="00D16B79">
        <w:rPr>
          <w:lang w:val="en-US"/>
        </w:rPr>
        <w:t>“</w:t>
      </w:r>
      <w:r w:rsidR="0033329F" w:rsidRPr="00D16B79">
        <w:rPr>
          <w:lang w:val="en-US"/>
        </w:rPr>
        <w:t>v</w:t>
      </w:r>
      <w:r w:rsidRPr="00D16B79">
        <w:rPr>
          <w:lang w:val="en-US"/>
        </w:rPr>
        <w:t>ery likely</w:t>
      </w:r>
      <w:r w:rsidR="00D4226D" w:rsidRPr="00D16B79">
        <w:rPr>
          <w:lang w:val="en-US"/>
        </w:rPr>
        <w:t>”</w:t>
      </w:r>
      <w:r w:rsidRPr="00D16B79">
        <w:rPr>
          <w:lang w:val="en-US"/>
        </w:rPr>
        <w:t xml:space="preserve">). </w:t>
      </w:r>
      <w:r w:rsidR="00396BBA" w:rsidRPr="00D16B79">
        <w:rPr>
          <w:lang w:val="en-US"/>
        </w:rPr>
        <w:t xml:space="preserve">Unlike </w:t>
      </w:r>
      <w:r w:rsidR="00D87751" w:rsidRPr="00D16B79">
        <w:rPr>
          <w:lang w:val="en-US"/>
        </w:rPr>
        <w:t>Study 1</w:t>
      </w:r>
      <w:r w:rsidR="00D8495C">
        <w:rPr>
          <w:lang w:val="en-US"/>
        </w:rPr>
        <w:t>,</w:t>
      </w:r>
      <w:r w:rsidR="00396BBA" w:rsidRPr="00D16B79">
        <w:rPr>
          <w:lang w:val="en-US"/>
        </w:rPr>
        <w:t xml:space="preserve"> where participants distributed a finite amount between charities, in this </w:t>
      </w:r>
      <w:r w:rsidR="009948BE" w:rsidRPr="00D16B79">
        <w:rPr>
          <w:lang w:val="en-US"/>
        </w:rPr>
        <w:t xml:space="preserve">study </w:t>
      </w:r>
      <w:r w:rsidR="00396BBA" w:rsidRPr="00D16B79">
        <w:rPr>
          <w:lang w:val="en-US"/>
        </w:rPr>
        <w:t xml:space="preserve">they assessed their likelihood of giving to each charity </w:t>
      </w:r>
      <w:r w:rsidR="00310C8D">
        <w:rPr>
          <w:lang w:val="en-US"/>
        </w:rPr>
        <w:t>(independently)</w:t>
      </w:r>
      <w:r w:rsidR="00396BBA" w:rsidRPr="00D16B79">
        <w:rPr>
          <w:lang w:val="en-US"/>
        </w:rPr>
        <w:t xml:space="preserve">. This meant that they could indicate very high </w:t>
      </w:r>
      <w:r w:rsidR="00C85E0D" w:rsidRPr="00D16B79">
        <w:rPr>
          <w:lang w:val="en-US"/>
        </w:rPr>
        <w:t xml:space="preserve">donation </w:t>
      </w:r>
      <w:r w:rsidR="00396BBA" w:rsidRPr="00D16B79">
        <w:rPr>
          <w:lang w:val="en-US"/>
        </w:rPr>
        <w:t>likelihood for both students</w:t>
      </w:r>
      <w:r w:rsidR="00C85E0D" w:rsidRPr="00D16B79">
        <w:rPr>
          <w:lang w:val="en-US"/>
        </w:rPr>
        <w:t xml:space="preserve"> in the joint evaluation condition</w:t>
      </w:r>
      <w:r w:rsidR="001724F8" w:rsidRPr="00D16B79">
        <w:rPr>
          <w:lang w:val="en-US"/>
        </w:rPr>
        <w:t xml:space="preserve"> if they wanted to</w:t>
      </w:r>
      <w:r w:rsidR="00396BBA" w:rsidRPr="00D16B79">
        <w:rPr>
          <w:lang w:val="en-US"/>
        </w:rPr>
        <w:t xml:space="preserve">. </w:t>
      </w:r>
      <w:r w:rsidR="00C85E0D" w:rsidRPr="00D16B79">
        <w:rPr>
          <w:lang w:val="en-US"/>
        </w:rPr>
        <w:t xml:space="preserve">Participants also </w:t>
      </w:r>
      <w:r w:rsidR="00E130A0" w:rsidRPr="00D16B79">
        <w:rPr>
          <w:lang w:val="en-US"/>
        </w:rPr>
        <w:t>indicated</w:t>
      </w:r>
      <w:r w:rsidR="00C85E0D" w:rsidRPr="00D16B79">
        <w:rPr>
          <w:lang w:val="en-US"/>
        </w:rPr>
        <w:t xml:space="preserve"> what they would do if they had $1 </w:t>
      </w:r>
      <w:r w:rsidR="00FC6C8C" w:rsidRPr="00D16B79">
        <w:rPr>
          <w:lang w:val="en-US"/>
        </w:rPr>
        <w:t>(</w:t>
      </w:r>
      <w:r w:rsidR="00C85E0D" w:rsidRPr="00D16B79">
        <w:rPr>
          <w:lang w:val="en-US"/>
        </w:rPr>
        <w:t>the price of a single candy bar</w:t>
      </w:r>
      <w:r w:rsidR="00FC6C8C" w:rsidRPr="00D16B79">
        <w:rPr>
          <w:lang w:val="en-US"/>
        </w:rPr>
        <w:t>)</w:t>
      </w:r>
      <w:r w:rsidR="00C85E0D" w:rsidRPr="00D16B79">
        <w:rPr>
          <w:lang w:val="en-US"/>
        </w:rPr>
        <w:t xml:space="preserve"> with options to buy from the student(s) they had read about or to keep the money</w:t>
      </w:r>
      <w:r w:rsidR="001548E0" w:rsidRPr="00D16B79">
        <w:rPr>
          <w:lang w:val="en-US"/>
        </w:rPr>
        <w:t xml:space="preserve"> for themselves</w:t>
      </w:r>
      <w:r w:rsidR="00C85E0D" w:rsidRPr="00D16B79">
        <w:rPr>
          <w:lang w:val="en-US"/>
        </w:rPr>
        <w:t>.</w:t>
      </w:r>
      <w:r w:rsidR="00DE2458" w:rsidRPr="00D16B79">
        <w:rPr>
          <w:lang w:val="en-US"/>
        </w:rPr>
        <w:t xml:space="preserve"> </w:t>
      </w:r>
      <w:r w:rsidR="009A275C" w:rsidRPr="00D16B79">
        <w:rPr>
          <w:lang w:val="en-US"/>
        </w:rPr>
        <w:t>This meant that in the joint evaluation condition they had three options (keep the money, donate to the student closer to their goal, or donate to the student farther from their goal) while in each separate evaluation condition they had two options</w:t>
      </w:r>
      <w:r w:rsidR="00243820">
        <w:rPr>
          <w:lang w:val="en-US"/>
        </w:rPr>
        <w:t xml:space="preserve">; in separate evaluation close they could either keep the money or donate to the </w:t>
      </w:r>
      <w:r w:rsidR="00243820">
        <w:rPr>
          <w:lang w:val="en-US"/>
        </w:rPr>
        <w:lastRenderedPageBreak/>
        <w:t>student close to their goal and in separate evaluation far they could either</w:t>
      </w:r>
      <w:r w:rsidR="001F29C1">
        <w:rPr>
          <w:lang w:val="en-US"/>
        </w:rPr>
        <w:t xml:space="preserve"> </w:t>
      </w:r>
      <w:r w:rsidR="009A275C" w:rsidRPr="00D16B79">
        <w:rPr>
          <w:lang w:val="en-US"/>
        </w:rPr>
        <w:t>keep the money or donate to the student</w:t>
      </w:r>
      <w:r w:rsidR="00E357EA">
        <w:rPr>
          <w:lang w:val="en-US"/>
        </w:rPr>
        <w:t xml:space="preserve"> </w:t>
      </w:r>
      <w:r w:rsidR="009A275C" w:rsidRPr="00D16B79">
        <w:rPr>
          <w:lang w:val="en-US"/>
        </w:rPr>
        <w:t>farther from their goal.</w:t>
      </w:r>
    </w:p>
    <w:p w14:paraId="4EE40F76" w14:textId="43FF87C4" w:rsidR="00C91947" w:rsidRPr="00D16B79" w:rsidRDefault="00E473EF" w:rsidP="0033329F">
      <w:pPr>
        <w:spacing w:line="480" w:lineRule="auto"/>
        <w:ind w:firstLine="720"/>
        <w:rPr>
          <w:lang w:val="en-US"/>
        </w:rPr>
      </w:pPr>
      <w:r w:rsidRPr="00D16B79">
        <w:rPr>
          <w:lang w:val="en-US"/>
        </w:rPr>
        <w:t>Participants answered</w:t>
      </w:r>
      <w:r w:rsidR="00D4226D" w:rsidRPr="00D16B79">
        <w:rPr>
          <w:lang w:val="en-US"/>
        </w:rPr>
        <w:t xml:space="preserve"> a series of</w:t>
      </w:r>
      <w:r w:rsidRPr="00D16B79">
        <w:rPr>
          <w:lang w:val="en-US"/>
        </w:rPr>
        <w:t xml:space="preserve"> questions</w:t>
      </w:r>
      <w:r w:rsidR="00D4226D" w:rsidRPr="00D16B79">
        <w:rPr>
          <w:lang w:val="en-US"/>
        </w:rPr>
        <w:t xml:space="preserve"> for each student </w:t>
      </w:r>
      <w:r w:rsidR="00D87751" w:rsidRPr="00D16B79">
        <w:rPr>
          <w:lang w:val="en-US"/>
        </w:rPr>
        <w:t xml:space="preserve">fundraiser </w:t>
      </w:r>
      <w:r w:rsidR="00D4226D" w:rsidRPr="00D16B79">
        <w:rPr>
          <w:lang w:val="en-US"/>
        </w:rPr>
        <w:t xml:space="preserve">including </w:t>
      </w:r>
      <w:r w:rsidRPr="00D16B79">
        <w:rPr>
          <w:lang w:val="en-US"/>
        </w:rPr>
        <w:t>perceived need</w:t>
      </w:r>
      <w:r w:rsidR="00CA66A2" w:rsidRPr="00D16B79">
        <w:rPr>
          <w:lang w:val="en-US"/>
        </w:rPr>
        <w:t xml:space="preserve"> for help</w:t>
      </w:r>
      <w:r w:rsidR="00E57A69" w:rsidRPr="00D16B79">
        <w:rPr>
          <w:lang w:val="en-US"/>
        </w:rPr>
        <w:t xml:space="preserve"> (</w:t>
      </w:r>
      <w:r w:rsidR="00694469" w:rsidRPr="00D16B79">
        <w:rPr>
          <w:lang w:val="en-US"/>
        </w:rPr>
        <w:t>“To what extent did</w:t>
      </w:r>
      <w:r w:rsidR="00573259" w:rsidRPr="00D16B79">
        <w:rPr>
          <w:lang w:val="en-US"/>
        </w:rPr>
        <w:t xml:space="preserve"> X</w:t>
      </w:r>
      <w:r w:rsidR="00694469" w:rsidRPr="00D16B79">
        <w:rPr>
          <w:lang w:val="en-US"/>
        </w:rPr>
        <w:t xml:space="preserve"> need</w:t>
      </w:r>
      <w:r w:rsidR="009A242B" w:rsidRPr="00D16B79">
        <w:rPr>
          <w:lang w:val="en-US"/>
        </w:rPr>
        <w:t xml:space="preserve"> your help</w:t>
      </w:r>
      <w:r w:rsidR="0033329F" w:rsidRPr="00D16B79">
        <w:rPr>
          <w:lang w:val="en-US"/>
        </w:rPr>
        <w:t>?</w:t>
      </w:r>
      <w:r w:rsidR="009A242B" w:rsidRPr="00D16B79">
        <w:rPr>
          <w:lang w:val="en-US"/>
        </w:rPr>
        <w:t>”</w:t>
      </w:r>
      <w:r w:rsidR="00E57A69" w:rsidRPr="00D16B79">
        <w:rPr>
          <w:lang w:val="en-US"/>
        </w:rPr>
        <w:t xml:space="preserve"> </w:t>
      </w:r>
      <w:r w:rsidR="00573259" w:rsidRPr="00D16B79">
        <w:rPr>
          <w:lang w:val="en-US"/>
        </w:rPr>
        <w:t xml:space="preserve">1 </w:t>
      </w:r>
      <w:r w:rsidR="0033329F" w:rsidRPr="00D16B79">
        <w:rPr>
          <w:lang w:val="en-US"/>
        </w:rPr>
        <w:t xml:space="preserve">= </w:t>
      </w:r>
      <w:r w:rsidR="00D4226D" w:rsidRPr="00D16B79">
        <w:rPr>
          <w:lang w:val="en-US"/>
        </w:rPr>
        <w:t>“</w:t>
      </w:r>
      <w:r w:rsidR="0033329F" w:rsidRPr="00D16B79">
        <w:rPr>
          <w:lang w:val="en-US"/>
        </w:rPr>
        <w:t>n</w:t>
      </w:r>
      <w:r w:rsidR="00573259" w:rsidRPr="00D16B79">
        <w:rPr>
          <w:lang w:val="en-US"/>
        </w:rPr>
        <w:t>ot at all</w:t>
      </w:r>
      <w:r w:rsidR="00D4226D" w:rsidRPr="00D16B79">
        <w:rPr>
          <w:lang w:val="en-US"/>
        </w:rPr>
        <w:t>”</w:t>
      </w:r>
      <w:r w:rsidR="0033329F" w:rsidRPr="00D16B79">
        <w:rPr>
          <w:lang w:val="en-US"/>
        </w:rPr>
        <w:t>,</w:t>
      </w:r>
      <w:r w:rsidR="00573259" w:rsidRPr="00D16B79">
        <w:rPr>
          <w:lang w:val="en-US"/>
        </w:rPr>
        <w:t xml:space="preserve"> to 7</w:t>
      </w:r>
      <w:r w:rsidR="0033329F" w:rsidRPr="00D16B79">
        <w:rPr>
          <w:lang w:val="en-US"/>
        </w:rPr>
        <w:t xml:space="preserve"> = </w:t>
      </w:r>
      <w:r w:rsidR="00D4226D" w:rsidRPr="00D16B79">
        <w:rPr>
          <w:lang w:val="en-US"/>
        </w:rPr>
        <w:t>“</w:t>
      </w:r>
      <w:r w:rsidR="0033329F" w:rsidRPr="00D16B79">
        <w:rPr>
          <w:lang w:val="en-US"/>
        </w:rPr>
        <w:t>t</w:t>
      </w:r>
      <w:r w:rsidR="00573259" w:rsidRPr="00D16B79">
        <w:rPr>
          <w:lang w:val="en-US"/>
        </w:rPr>
        <w:t>o a great extent</w:t>
      </w:r>
      <w:r w:rsidR="00D4226D" w:rsidRPr="00D16B79">
        <w:rPr>
          <w:lang w:val="en-US"/>
        </w:rPr>
        <w:t>”</w:t>
      </w:r>
      <w:r w:rsidR="00573259" w:rsidRPr="00D16B79">
        <w:rPr>
          <w:lang w:val="en-US"/>
        </w:rPr>
        <w:t>)</w:t>
      </w:r>
      <w:r w:rsidR="00694469" w:rsidRPr="00D16B79">
        <w:rPr>
          <w:lang w:val="en-US"/>
        </w:rPr>
        <w:t xml:space="preserve"> and </w:t>
      </w:r>
      <w:r w:rsidR="00E57A69" w:rsidRPr="00D16B79">
        <w:rPr>
          <w:lang w:val="en-US"/>
        </w:rPr>
        <w:t xml:space="preserve">3 items on </w:t>
      </w:r>
      <w:r w:rsidR="00694469" w:rsidRPr="00D16B79">
        <w:rPr>
          <w:lang w:val="en-US"/>
        </w:rPr>
        <w:t xml:space="preserve">impact </w:t>
      </w:r>
      <w:r w:rsidR="004C4860" w:rsidRPr="00D16B79">
        <w:rPr>
          <w:lang w:val="en-US"/>
        </w:rPr>
        <w:t xml:space="preserve">(e.g., </w:t>
      </w:r>
      <w:r w:rsidR="00694469" w:rsidRPr="00D16B79">
        <w:rPr>
          <w:lang w:val="en-US"/>
        </w:rPr>
        <w:t xml:space="preserve">“How much progress would your potential candy bar purchase make toward </w:t>
      </w:r>
      <w:r w:rsidR="00573259" w:rsidRPr="00D16B79">
        <w:rPr>
          <w:lang w:val="en-US"/>
        </w:rPr>
        <w:t>X</w:t>
      </w:r>
      <w:r w:rsidR="00694469" w:rsidRPr="00D16B79">
        <w:rPr>
          <w:lang w:val="en-US"/>
        </w:rPr>
        <w:t>'s goal</w:t>
      </w:r>
      <w:r w:rsidR="0033329F" w:rsidRPr="00D16B79">
        <w:rPr>
          <w:lang w:val="en-US"/>
        </w:rPr>
        <w:t>?</w:t>
      </w:r>
      <w:r w:rsidR="00694469" w:rsidRPr="00D16B79">
        <w:rPr>
          <w:lang w:val="en-US"/>
        </w:rPr>
        <w:t>”</w:t>
      </w:r>
      <w:r w:rsidR="00E57A69" w:rsidRPr="00D16B79">
        <w:rPr>
          <w:lang w:val="en-US"/>
        </w:rPr>
        <w:t>)</w:t>
      </w:r>
      <w:r w:rsidR="001548E0" w:rsidRPr="00D16B79">
        <w:rPr>
          <w:lang w:val="en-US"/>
        </w:rPr>
        <w:t>,</w:t>
      </w:r>
      <w:r w:rsidR="00E57A69" w:rsidRPr="00D16B79">
        <w:rPr>
          <w:lang w:val="en-US"/>
        </w:rPr>
        <w:t xml:space="preserve"> </w:t>
      </w:r>
      <w:r w:rsidR="00573259" w:rsidRPr="00D16B79">
        <w:rPr>
          <w:lang w:val="en-US"/>
        </w:rPr>
        <w:t xml:space="preserve">where X was replaced with the name of the student(s) in the scenario. </w:t>
      </w:r>
      <w:r w:rsidR="00694469" w:rsidRPr="00D16B79">
        <w:rPr>
          <w:lang w:val="en-US"/>
        </w:rPr>
        <w:t xml:space="preserve">They also </w:t>
      </w:r>
      <w:r w:rsidR="0033329F" w:rsidRPr="00D16B79">
        <w:rPr>
          <w:lang w:val="en-US"/>
        </w:rPr>
        <w:t xml:space="preserve">responded to </w:t>
      </w:r>
      <w:r w:rsidR="001E5E8B" w:rsidRPr="00D16B79">
        <w:rPr>
          <w:lang w:val="en-US"/>
        </w:rPr>
        <w:t>questions</w:t>
      </w:r>
      <w:r w:rsidR="00FB1A3F" w:rsidRPr="00D16B79">
        <w:rPr>
          <w:lang w:val="en-US"/>
        </w:rPr>
        <w:t xml:space="preserve"> </w:t>
      </w:r>
      <w:r w:rsidR="001E5E8B" w:rsidRPr="00D16B79">
        <w:rPr>
          <w:lang w:val="en-US"/>
        </w:rPr>
        <w:t xml:space="preserve">related to </w:t>
      </w:r>
      <w:r w:rsidR="00FB1A3F" w:rsidRPr="00D16B79">
        <w:rPr>
          <w:lang w:val="en-US"/>
        </w:rPr>
        <w:t xml:space="preserve">alternative </w:t>
      </w:r>
      <w:r w:rsidR="00965BBA" w:rsidRPr="00D16B79">
        <w:rPr>
          <w:lang w:val="en-US"/>
        </w:rPr>
        <w:t xml:space="preserve">process </w:t>
      </w:r>
      <w:r w:rsidR="00FB1A3F" w:rsidRPr="00D16B79">
        <w:rPr>
          <w:lang w:val="en-US"/>
        </w:rPr>
        <w:t>explanations</w:t>
      </w:r>
      <w:r w:rsidR="00965BBA" w:rsidRPr="00D16B79">
        <w:rPr>
          <w:lang w:val="en-US"/>
        </w:rPr>
        <w:t xml:space="preserve">, </w:t>
      </w:r>
      <w:r w:rsidR="00A05FFA" w:rsidRPr="00D16B79">
        <w:rPr>
          <w:lang w:val="en-US"/>
        </w:rPr>
        <w:t xml:space="preserve">previously </w:t>
      </w:r>
      <w:r w:rsidR="00965BBA" w:rsidRPr="00D16B79">
        <w:rPr>
          <w:lang w:val="en-US"/>
        </w:rPr>
        <w:t>tested in</w:t>
      </w:r>
      <w:r w:rsidR="0033329F" w:rsidRPr="00D16B79">
        <w:rPr>
          <w:lang w:val="en-US"/>
        </w:rPr>
        <w:t xml:space="preserve"> </w:t>
      </w:r>
      <w:r w:rsidR="00965BBA" w:rsidRPr="00D16B79">
        <w:rPr>
          <w:lang w:val="en-US"/>
        </w:rPr>
        <w:t>Cryder</w:t>
      </w:r>
      <w:r w:rsidR="00B15F00" w:rsidRPr="00D16B79">
        <w:rPr>
          <w:lang w:val="en-US"/>
        </w:rPr>
        <w:t>, Loewenstein, and Seltman (2013)</w:t>
      </w:r>
      <w:r w:rsidR="00FB1A3F" w:rsidRPr="00D16B79">
        <w:rPr>
          <w:lang w:val="en-US"/>
        </w:rPr>
        <w:t xml:space="preserve">; </w:t>
      </w:r>
      <w:r w:rsidR="001E5E8B" w:rsidRPr="00D16B79">
        <w:rPr>
          <w:lang w:val="en-US"/>
        </w:rPr>
        <w:t xml:space="preserve">3 items to measure </w:t>
      </w:r>
      <w:r w:rsidR="00694469" w:rsidRPr="00D16B79">
        <w:rPr>
          <w:lang w:val="en-US"/>
        </w:rPr>
        <w:t>how satisfying it would be to help the student reach her goal</w:t>
      </w:r>
      <w:r w:rsidR="00E57A69" w:rsidRPr="00D16B79">
        <w:rPr>
          <w:lang w:val="en-US"/>
        </w:rPr>
        <w:t xml:space="preserve"> (e.g., </w:t>
      </w:r>
      <w:r w:rsidR="00694469" w:rsidRPr="00D16B79">
        <w:rPr>
          <w:lang w:val="en-US"/>
        </w:rPr>
        <w:t xml:space="preserve">“How satisfying would it be to help </w:t>
      </w:r>
      <w:r w:rsidR="00573259" w:rsidRPr="00D16B79">
        <w:rPr>
          <w:lang w:val="en-US"/>
        </w:rPr>
        <w:t>X</w:t>
      </w:r>
      <w:r w:rsidR="00694469" w:rsidRPr="00D16B79">
        <w:rPr>
          <w:lang w:val="en-US"/>
        </w:rPr>
        <w:t xml:space="preserve"> reach her goal?”</w:t>
      </w:r>
      <w:r w:rsidR="00E57A69" w:rsidRPr="00D16B79">
        <w:rPr>
          <w:lang w:val="en-US"/>
        </w:rPr>
        <w:t>)</w:t>
      </w:r>
      <w:r w:rsidR="0033329F" w:rsidRPr="00D16B79">
        <w:rPr>
          <w:lang w:val="en-US"/>
        </w:rPr>
        <w:t>;</w:t>
      </w:r>
      <w:r w:rsidR="00694469" w:rsidRPr="00D16B79">
        <w:rPr>
          <w:lang w:val="en-US"/>
        </w:rPr>
        <w:t xml:space="preserve"> and 3 items to measure sympathy for the student</w:t>
      </w:r>
      <w:r w:rsidR="00350A1C" w:rsidRPr="00D16B79">
        <w:rPr>
          <w:lang w:val="en-US"/>
        </w:rPr>
        <w:t xml:space="preserve"> (e.g., </w:t>
      </w:r>
      <w:r w:rsidR="00694469" w:rsidRPr="00D16B79">
        <w:rPr>
          <w:lang w:val="en-US"/>
        </w:rPr>
        <w:t xml:space="preserve">“To what extent do you feel sympathy for </w:t>
      </w:r>
      <w:r w:rsidR="00573259" w:rsidRPr="00D16B79">
        <w:rPr>
          <w:lang w:val="en-US"/>
        </w:rPr>
        <w:t>X</w:t>
      </w:r>
      <w:r w:rsidR="00694469" w:rsidRPr="00D16B79">
        <w:rPr>
          <w:lang w:val="en-US"/>
        </w:rPr>
        <w:t>?”</w:t>
      </w:r>
      <w:r w:rsidR="00350A1C" w:rsidRPr="00D16B79">
        <w:rPr>
          <w:lang w:val="en-US"/>
        </w:rPr>
        <w:t>)</w:t>
      </w:r>
      <w:r w:rsidR="00D4226D" w:rsidRPr="00D16B79">
        <w:rPr>
          <w:lang w:val="en-US"/>
        </w:rPr>
        <w:t xml:space="preserve"> using a scale from 1 = “not at all”, to 7 = “to a great extent”</w:t>
      </w:r>
      <w:r w:rsidR="00694469" w:rsidRPr="00D16B79">
        <w:rPr>
          <w:lang w:val="en-US"/>
        </w:rPr>
        <w:t>.</w:t>
      </w:r>
      <w:r w:rsidR="00A05FFA" w:rsidRPr="00D16B79">
        <w:rPr>
          <w:lang w:val="en-US"/>
        </w:rPr>
        <w:t xml:space="preserve"> Previous work </w:t>
      </w:r>
      <w:r w:rsidR="00B15F00" w:rsidRPr="00D16B79">
        <w:rPr>
          <w:lang w:val="en-US"/>
        </w:rPr>
        <w:t>finds</w:t>
      </w:r>
      <w:r w:rsidR="000366D2" w:rsidRPr="00D16B79">
        <w:rPr>
          <w:lang w:val="en-US"/>
        </w:rPr>
        <w:t xml:space="preserve"> </w:t>
      </w:r>
      <w:r w:rsidR="00A05FFA" w:rsidRPr="00D16B79">
        <w:rPr>
          <w:lang w:val="en-US"/>
        </w:rPr>
        <w:t xml:space="preserve">that people feel greater satisfaction and impact when the fundraiser is closer to the goal </w:t>
      </w:r>
      <w:r w:rsidR="00A05FFA" w:rsidRPr="00D16B79">
        <w:rPr>
          <w:lang w:val="en-US"/>
        </w:rPr>
        <w:fldChar w:fldCharType="begin"/>
      </w:r>
      <w:r w:rsidR="00181321">
        <w:rPr>
          <w:lang w:val="en-US"/>
        </w:rPr>
        <w:instrText xml:space="preserve"> ADDIN ZOTERO_ITEM CSL_CITATION {"citationID":"lbyscE4M","properties":{"formattedCitation":"(Cryder, Loewenstein, and Seltman 2013)","plainCitation":"(Cryder, Loewenstein, and Seltman 2013)","noteIndex":0},"citationItems":[{"id":2335,"uris":["http://zotero.org/users/4606674/items/KQ6ICYYK"],"itemData":{"id":2335,"type":"article-journal","abstract":"People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E."},{"family":"Loewenstein","given":"George"},{"family":"Seltman","given":"Howard"}],"issued":{"date-parts":[["2013",11,1]]}}}],"schema":"https://github.com/citation-style-language/schema/raw/master/csl-citation.json"} </w:instrText>
      </w:r>
      <w:r w:rsidR="00A05FFA" w:rsidRPr="00D16B79">
        <w:rPr>
          <w:lang w:val="en-US"/>
        </w:rPr>
        <w:fldChar w:fldCharType="separate"/>
      </w:r>
      <w:r w:rsidR="00A05FFA" w:rsidRPr="00D16B79">
        <w:rPr>
          <w:rFonts w:ascii="Times New Roman" w:hAnsi="Times New Roman"/>
          <w:lang w:val="en-US"/>
        </w:rPr>
        <w:t>(Cryder, Loewenstein, and Seltman 2013)</w:t>
      </w:r>
      <w:r w:rsidR="00A05FFA" w:rsidRPr="00D16B79">
        <w:rPr>
          <w:lang w:val="en-US"/>
        </w:rPr>
        <w:fldChar w:fldCharType="end"/>
      </w:r>
      <w:r w:rsidR="00A05FFA" w:rsidRPr="00D16B79">
        <w:rPr>
          <w:lang w:val="en-US"/>
        </w:rPr>
        <w:t>.</w:t>
      </w:r>
      <w:r w:rsidR="00694469" w:rsidRPr="00D16B79">
        <w:rPr>
          <w:lang w:val="en-US"/>
        </w:rPr>
        <w:t xml:space="preserve"> Lastly</w:t>
      </w:r>
      <w:r w:rsidR="00573259" w:rsidRPr="00D16B79">
        <w:rPr>
          <w:lang w:val="en-US"/>
        </w:rPr>
        <w:t>,</w:t>
      </w:r>
      <w:r w:rsidR="00694469" w:rsidRPr="00D16B79">
        <w:rPr>
          <w:lang w:val="en-US"/>
        </w:rPr>
        <w:t xml:space="preserve"> </w:t>
      </w:r>
      <w:r w:rsidR="000366D2" w:rsidRPr="00D16B79">
        <w:rPr>
          <w:lang w:val="en-US"/>
        </w:rPr>
        <w:t xml:space="preserve">participants </w:t>
      </w:r>
      <w:r w:rsidR="00694469" w:rsidRPr="00D16B79">
        <w:rPr>
          <w:lang w:val="en-US"/>
        </w:rPr>
        <w:t>answered 1 item to measure likelihood of reaching the goal</w:t>
      </w:r>
      <w:r w:rsidR="00350A1C" w:rsidRPr="00D16B79">
        <w:rPr>
          <w:lang w:val="en-US"/>
        </w:rPr>
        <w:t xml:space="preserve"> (</w:t>
      </w:r>
      <w:r w:rsidR="00694469" w:rsidRPr="00D16B79">
        <w:rPr>
          <w:lang w:val="en-US"/>
        </w:rPr>
        <w:t xml:space="preserve">“How likely is it that </w:t>
      </w:r>
      <w:r w:rsidR="0033329F" w:rsidRPr="00D16B79">
        <w:rPr>
          <w:lang w:val="en-US"/>
        </w:rPr>
        <w:t xml:space="preserve">X </w:t>
      </w:r>
      <w:r w:rsidR="00694469" w:rsidRPr="00D16B79">
        <w:rPr>
          <w:lang w:val="en-US"/>
        </w:rPr>
        <w:t>will reach her goal?”</w:t>
      </w:r>
      <w:r w:rsidR="00350A1C" w:rsidRPr="00D16B79">
        <w:rPr>
          <w:lang w:val="en-US"/>
        </w:rPr>
        <w:t xml:space="preserve"> </w:t>
      </w:r>
      <w:r w:rsidR="00573259" w:rsidRPr="00D16B79">
        <w:rPr>
          <w:lang w:val="en-US"/>
        </w:rPr>
        <w:t xml:space="preserve">1 </w:t>
      </w:r>
      <w:r w:rsidR="0033329F" w:rsidRPr="00D16B79">
        <w:rPr>
          <w:lang w:val="en-US"/>
        </w:rPr>
        <w:t xml:space="preserve">= </w:t>
      </w:r>
      <w:r w:rsidR="00D4226D" w:rsidRPr="00D16B79">
        <w:rPr>
          <w:lang w:val="en-US"/>
        </w:rPr>
        <w:t>“</w:t>
      </w:r>
      <w:r w:rsidR="0033329F" w:rsidRPr="00D16B79">
        <w:rPr>
          <w:lang w:val="en-US"/>
        </w:rPr>
        <w:t>n</w:t>
      </w:r>
      <w:r w:rsidR="00573259" w:rsidRPr="00D16B79">
        <w:rPr>
          <w:lang w:val="en-US"/>
        </w:rPr>
        <w:t>ot likely at all</w:t>
      </w:r>
      <w:r w:rsidR="00D4226D" w:rsidRPr="00D16B79">
        <w:rPr>
          <w:lang w:val="en-US"/>
        </w:rPr>
        <w:t>”</w:t>
      </w:r>
      <w:r w:rsidR="0033329F" w:rsidRPr="00D16B79">
        <w:rPr>
          <w:lang w:val="en-US"/>
        </w:rPr>
        <w:t>,</w:t>
      </w:r>
      <w:r w:rsidR="00573259" w:rsidRPr="00D16B79">
        <w:rPr>
          <w:lang w:val="en-US"/>
        </w:rPr>
        <w:t xml:space="preserve"> to 7 </w:t>
      </w:r>
      <w:r w:rsidR="0033329F" w:rsidRPr="00D16B79">
        <w:rPr>
          <w:lang w:val="en-US"/>
        </w:rPr>
        <w:t xml:space="preserve">= </w:t>
      </w:r>
      <w:r w:rsidR="00D4226D" w:rsidRPr="00D16B79">
        <w:rPr>
          <w:lang w:val="en-US"/>
        </w:rPr>
        <w:t>“</w:t>
      </w:r>
      <w:r w:rsidR="0033329F" w:rsidRPr="00D16B79">
        <w:rPr>
          <w:lang w:val="en-US"/>
        </w:rPr>
        <w:t>v</w:t>
      </w:r>
      <w:r w:rsidR="00573259" w:rsidRPr="00D16B79">
        <w:rPr>
          <w:lang w:val="en-US"/>
        </w:rPr>
        <w:t>ery likely</w:t>
      </w:r>
      <w:r w:rsidR="00D4226D" w:rsidRPr="00D16B79">
        <w:rPr>
          <w:lang w:val="en-US"/>
        </w:rPr>
        <w:t>”</w:t>
      </w:r>
      <w:r w:rsidR="00573259" w:rsidRPr="00D16B79">
        <w:rPr>
          <w:lang w:val="en-US"/>
        </w:rPr>
        <w:t>)</w:t>
      </w:r>
      <w:r w:rsidR="00D87751" w:rsidRPr="00D16B79">
        <w:rPr>
          <w:lang w:val="en-US"/>
        </w:rPr>
        <w:t xml:space="preserve"> and answered an attention check question and demographics</w:t>
      </w:r>
      <w:r w:rsidR="00573259" w:rsidRPr="00D16B79">
        <w:rPr>
          <w:lang w:val="en-US"/>
        </w:rPr>
        <w:t>.</w:t>
      </w:r>
    </w:p>
    <w:p w14:paraId="7A742ED0" w14:textId="2D0F1BEC" w:rsidR="00AD4A5A" w:rsidRPr="00D16B79" w:rsidRDefault="00AD4A5A" w:rsidP="00F55739">
      <w:pPr>
        <w:pStyle w:val="Heading2"/>
      </w:pPr>
      <w:r w:rsidRPr="00D16B79">
        <w:t>Results</w:t>
      </w:r>
    </w:p>
    <w:p w14:paraId="38547DF6" w14:textId="0E0934FB" w:rsidR="00662904" w:rsidRPr="00D16B79" w:rsidRDefault="00662904" w:rsidP="003117F2">
      <w:pPr>
        <w:spacing w:line="480" w:lineRule="auto"/>
        <w:ind w:firstLine="720"/>
        <w:rPr>
          <w:lang w:val="en-US"/>
        </w:rPr>
      </w:pPr>
      <w:r w:rsidRPr="00D16B79">
        <w:rPr>
          <w:rFonts w:ascii="Times New Roman" w:eastAsia="Calibri" w:hAnsi="Times New Roman"/>
          <w:i/>
          <w:iCs/>
          <w:lang w:val="en-US" w:eastAsia="en-US"/>
        </w:rPr>
        <w:t xml:space="preserve">Data </w:t>
      </w:r>
      <w:r w:rsidR="00231839" w:rsidRPr="00D16B79">
        <w:rPr>
          <w:rFonts w:ascii="Times New Roman" w:eastAsia="Calibri" w:hAnsi="Times New Roman"/>
          <w:i/>
          <w:iCs/>
          <w:lang w:val="en-US" w:eastAsia="en-US"/>
        </w:rPr>
        <w:t>p</w:t>
      </w:r>
      <w:r w:rsidRPr="00D16B79">
        <w:rPr>
          <w:rFonts w:ascii="Times New Roman" w:eastAsia="Calibri" w:hAnsi="Times New Roman"/>
          <w:i/>
          <w:iCs/>
          <w:lang w:val="en-US" w:eastAsia="en-US"/>
        </w:rPr>
        <w:t xml:space="preserve">reparation. </w:t>
      </w:r>
      <w:r w:rsidRPr="00D16B79">
        <w:rPr>
          <w:lang w:val="en-US"/>
        </w:rPr>
        <w:t>After excluding participants</w:t>
      </w:r>
      <w:r w:rsidR="000A3210" w:rsidRPr="00D16B79">
        <w:rPr>
          <w:rFonts w:asciiTheme="majorHAnsi" w:hAnsiTheme="majorHAnsi" w:cstheme="majorHAnsi"/>
          <w:lang w:val="en-US"/>
        </w:rPr>
        <w:t xml:space="preserve"> (as pre-registered)</w:t>
      </w:r>
      <w:r w:rsidRPr="00D16B79">
        <w:rPr>
          <w:lang w:val="en-US"/>
        </w:rPr>
        <w:t xml:space="preserve"> who failed </w:t>
      </w:r>
      <w:r w:rsidR="00D8495C">
        <w:rPr>
          <w:lang w:val="en-US"/>
        </w:rPr>
        <w:t>the attention check</w:t>
      </w:r>
      <w:r w:rsidR="00231839" w:rsidRPr="00D16B79">
        <w:rPr>
          <w:lang w:val="en-US"/>
        </w:rPr>
        <w:t>,</w:t>
      </w:r>
      <w:r w:rsidRPr="00D16B79">
        <w:rPr>
          <w:lang w:val="en-US"/>
        </w:rPr>
        <w:t xml:space="preserve"> we were left with 273 participants (30% </w:t>
      </w:r>
      <w:r w:rsidR="007E7906" w:rsidRPr="00D16B79">
        <w:rPr>
          <w:lang w:val="en-US"/>
        </w:rPr>
        <w:t>women</w:t>
      </w:r>
      <w:r w:rsidRPr="00D16B79">
        <w:rPr>
          <w:lang w:val="en-US"/>
        </w:rPr>
        <w:t>, M</w:t>
      </w:r>
      <w:r w:rsidRPr="00D16B79">
        <w:rPr>
          <w:vertAlign w:val="subscript"/>
          <w:lang w:val="en-US"/>
        </w:rPr>
        <w:t>age</w:t>
      </w:r>
      <w:r w:rsidRPr="00D16B79">
        <w:rPr>
          <w:lang w:val="en-US"/>
        </w:rPr>
        <w:t xml:space="preserve"> = 35.97). </w:t>
      </w:r>
    </w:p>
    <w:p w14:paraId="1F4CF1AF" w14:textId="2A580B1F" w:rsidR="006A74E5" w:rsidRPr="00D16B79" w:rsidRDefault="00DF7648" w:rsidP="00FD3A99">
      <w:pPr>
        <w:spacing w:line="480" w:lineRule="auto"/>
        <w:ind w:firstLine="720"/>
        <w:rPr>
          <w:rFonts w:eastAsia="Calibri"/>
          <w:lang w:val="en-US"/>
        </w:rPr>
      </w:pPr>
      <w:r w:rsidRPr="00D16B79">
        <w:rPr>
          <w:rFonts w:ascii="Times New Roman" w:eastAsia="Calibri" w:hAnsi="Times New Roman"/>
          <w:i/>
          <w:iCs/>
          <w:lang w:val="en-US" w:eastAsia="en-US"/>
        </w:rPr>
        <w:t>Purchase likelihood</w:t>
      </w:r>
      <w:r w:rsidR="0012715C" w:rsidRPr="00D16B79">
        <w:rPr>
          <w:rFonts w:ascii="Times New Roman" w:eastAsia="Calibri" w:hAnsi="Times New Roman"/>
          <w:i/>
          <w:iCs/>
          <w:lang w:val="en-US" w:eastAsia="en-US"/>
        </w:rPr>
        <w:t xml:space="preserve">. </w:t>
      </w:r>
      <w:r w:rsidR="00410D37" w:rsidRPr="00D16B79">
        <w:rPr>
          <w:rFonts w:ascii="Times New Roman" w:eastAsia="Calibri" w:hAnsi="Times New Roman"/>
          <w:lang w:val="en-US" w:eastAsia="en-US"/>
        </w:rPr>
        <w:t>A hybrid t-test revealed a significant shift in preferences between JE and SE on likelihood of buying from the student close</w:t>
      </w:r>
      <w:r w:rsidRPr="00D16B79">
        <w:rPr>
          <w:rFonts w:ascii="Times New Roman" w:eastAsia="Calibri" w:hAnsi="Times New Roman"/>
          <w:lang w:val="en-US" w:eastAsia="en-US"/>
        </w:rPr>
        <w:t>r</w:t>
      </w:r>
      <w:r w:rsidR="00410D37" w:rsidRPr="00D16B79">
        <w:rPr>
          <w:rFonts w:ascii="Times New Roman" w:eastAsia="Calibri" w:hAnsi="Times New Roman"/>
          <w:lang w:val="en-US" w:eastAsia="en-US"/>
        </w:rPr>
        <w:t xml:space="preserve"> to </w:t>
      </w:r>
      <w:r w:rsidR="00FF75CC" w:rsidRPr="00D16B79">
        <w:rPr>
          <w:rFonts w:ascii="Times New Roman" w:eastAsia="Calibri" w:hAnsi="Times New Roman"/>
          <w:lang w:val="en-US" w:eastAsia="en-US"/>
        </w:rPr>
        <w:t>her</w:t>
      </w:r>
      <w:r w:rsidR="00410D37" w:rsidRPr="00D16B79">
        <w:rPr>
          <w:rFonts w:ascii="Times New Roman" w:eastAsia="Calibri" w:hAnsi="Times New Roman"/>
          <w:lang w:val="en-US" w:eastAsia="en-US"/>
        </w:rPr>
        <w:t xml:space="preserve"> goal</w:t>
      </w:r>
      <w:r w:rsidRPr="00D16B79">
        <w:rPr>
          <w:rFonts w:ascii="Times New Roman" w:eastAsia="Calibri" w:hAnsi="Times New Roman"/>
          <w:lang w:val="en-US" w:eastAsia="en-US"/>
        </w:rPr>
        <w:t xml:space="preserve">, </w:t>
      </w:r>
      <w:r w:rsidRPr="00D16B79">
        <w:rPr>
          <w:rFonts w:eastAsia="Calibri"/>
          <w:lang w:val="en-US"/>
        </w:rPr>
        <w:t>t(270) = 6.</w:t>
      </w:r>
      <w:r w:rsidR="00662904" w:rsidRPr="00D16B79">
        <w:rPr>
          <w:rFonts w:eastAsia="Calibri"/>
          <w:lang w:val="en-US"/>
        </w:rPr>
        <w:t>47</w:t>
      </w:r>
      <w:r w:rsidRPr="00D16B79">
        <w:rPr>
          <w:rFonts w:eastAsia="Calibri"/>
          <w:lang w:val="en-US"/>
        </w:rPr>
        <w:t xml:space="preserve">, </w:t>
      </w:r>
      <w:r w:rsidRPr="00D16B79">
        <w:rPr>
          <w:rFonts w:eastAsia="Calibri"/>
          <w:i/>
          <w:iCs/>
          <w:lang w:val="en-US"/>
        </w:rPr>
        <w:t>p</w:t>
      </w:r>
      <w:r w:rsidRPr="00D16B79">
        <w:rPr>
          <w:rFonts w:eastAsia="Calibri"/>
          <w:lang w:val="en-US"/>
        </w:rPr>
        <w:t xml:space="preserve"> &lt; .001</w:t>
      </w:r>
      <w:r w:rsidR="00410D37" w:rsidRPr="00D16B79">
        <w:rPr>
          <w:rFonts w:ascii="Times New Roman" w:eastAsia="Calibri" w:hAnsi="Times New Roman"/>
          <w:lang w:val="en-US" w:eastAsia="en-US"/>
        </w:rPr>
        <w:t xml:space="preserve">. </w:t>
      </w:r>
      <w:r w:rsidR="001548E0" w:rsidRPr="00D16B79">
        <w:rPr>
          <w:rFonts w:eastAsia="Calibri"/>
          <w:lang w:val="en-US"/>
        </w:rPr>
        <w:t xml:space="preserve">In JE, </w:t>
      </w:r>
      <w:r w:rsidR="00662904" w:rsidRPr="00D16B79">
        <w:rPr>
          <w:rFonts w:eastAsia="Calibri"/>
          <w:lang w:val="en-US"/>
        </w:rPr>
        <w:t>a</w:t>
      </w:r>
      <w:r w:rsidR="001548E0" w:rsidRPr="00D16B79">
        <w:rPr>
          <w:rFonts w:eastAsia="Calibri"/>
          <w:lang w:val="en-US"/>
        </w:rPr>
        <w:t xml:space="preserve"> paired samples t-test showed that </w:t>
      </w:r>
      <w:r w:rsidR="00662904" w:rsidRPr="00D16B79">
        <w:rPr>
          <w:rFonts w:eastAsia="Calibri"/>
          <w:lang w:val="en-US"/>
        </w:rPr>
        <w:t>participants</w:t>
      </w:r>
      <w:r w:rsidR="001548E0" w:rsidRPr="00D16B79">
        <w:rPr>
          <w:rFonts w:eastAsia="Calibri"/>
          <w:lang w:val="en-US"/>
        </w:rPr>
        <w:t xml:space="preserve"> were more likely to buy from the student who was farther from </w:t>
      </w:r>
      <w:r w:rsidR="00FF75CC" w:rsidRPr="00D16B79">
        <w:rPr>
          <w:rFonts w:eastAsia="Calibri"/>
          <w:lang w:val="en-US"/>
        </w:rPr>
        <w:t>her</w:t>
      </w:r>
      <w:r w:rsidR="001548E0" w:rsidRPr="00D16B79">
        <w:rPr>
          <w:rFonts w:eastAsia="Calibri"/>
          <w:lang w:val="en-US"/>
        </w:rPr>
        <w:t xml:space="preserve"> goal (M = 5.</w:t>
      </w:r>
      <w:r w:rsidR="00662904" w:rsidRPr="00D16B79">
        <w:rPr>
          <w:rFonts w:eastAsia="Calibri"/>
          <w:lang w:val="en-US"/>
        </w:rPr>
        <w:t>90</w:t>
      </w:r>
      <w:r w:rsidR="001548E0" w:rsidRPr="00D16B79">
        <w:rPr>
          <w:rFonts w:eastAsia="Calibri"/>
          <w:lang w:val="en-US"/>
        </w:rPr>
        <w:t xml:space="preserve">, SD = 1.14) than closer (M = 4.73, SD = 1.89), t(98) = 5.13, </w:t>
      </w:r>
      <w:r w:rsidR="001548E0" w:rsidRPr="00D16B79">
        <w:rPr>
          <w:rFonts w:eastAsia="Calibri"/>
          <w:i/>
          <w:iCs/>
          <w:lang w:val="en-US"/>
        </w:rPr>
        <w:t>p</w:t>
      </w:r>
      <w:r w:rsidR="001548E0" w:rsidRPr="00D16B79">
        <w:rPr>
          <w:rFonts w:eastAsia="Calibri"/>
          <w:lang w:val="en-US"/>
        </w:rPr>
        <w:t xml:space="preserve"> &lt; .00</w:t>
      </w:r>
      <w:r w:rsidR="00662904" w:rsidRPr="00D16B79">
        <w:rPr>
          <w:rFonts w:eastAsia="Calibri"/>
          <w:lang w:val="en-US"/>
        </w:rPr>
        <w:t xml:space="preserve">1, d = .54, consistent with </w:t>
      </w:r>
      <w:r w:rsidR="00B15F00" w:rsidRPr="00D16B79">
        <w:rPr>
          <w:rFonts w:eastAsia="Calibri"/>
          <w:lang w:val="en-US"/>
        </w:rPr>
        <w:t>Study 1</w:t>
      </w:r>
      <w:r w:rsidR="001548E0" w:rsidRPr="00D16B79">
        <w:rPr>
          <w:rFonts w:eastAsia="Calibri"/>
          <w:lang w:val="en-US"/>
        </w:rPr>
        <w:t xml:space="preserve">. </w:t>
      </w:r>
      <w:r w:rsidR="00F40036" w:rsidRPr="00D16B79">
        <w:rPr>
          <w:rFonts w:eastAsia="Calibri"/>
          <w:lang w:val="en-US"/>
        </w:rPr>
        <w:t xml:space="preserve">In SE, </w:t>
      </w:r>
      <w:r w:rsidR="00662904" w:rsidRPr="00D16B79">
        <w:rPr>
          <w:rFonts w:eastAsia="Calibri"/>
          <w:lang w:val="en-US"/>
        </w:rPr>
        <w:t xml:space="preserve">however, </w:t>
      </w:r>
      <w:r w:rsidR="00F40036" w:rsidRPr="00D16B79">
        <w:rPr>
          <w:rFonts w:eastAsia="Calibri"/>
          <w:lang w:val="en-US"/>
        </w:rPr>
        <w:t xml:space="preserve">an independent samples t-test </w:t>
      </w:r>
      <w:r w:rsidR="00F40036" w:rsidRPr="00D16B79">
        <w:rPr>
          <w:rFonts w:eastAsia="Calibri"/>
          <w:lang w:val="en-US"/>
        </w:rPr>
        <w:lastRenderedPageBreak/>
        <w:t xml:space="preserve">revealed that participants were more likely to buy candy from the student who was closer </w:t>
      </w:r>
      <w:r w:rsidR="009C3C30" w:rsidRPr="00D16B79">
        <w:rPr>
          <w:rFonts w:eastAsia="Calibri"/>
          <w:lang w:val="en-US"/>
        </w:rPr>
        <w:t xml:space="preserve">to </w:t>
      </w:r>
      <w:r w:rsidR="00585664" w:rsidRPr="00D16B79">
        <w:rPr>
          <w:rFonts w:eastAsia="Calibri"/>
          <w:lang w:val="en-US"/>
        </w:rPr>
        <w:t>her</w:t>
      </w:r>
      <w:r w:rsidR="009C3C30" w:rsidRPr="00D16B79">
        <w:rPr>
          <w:rFonts w:eastAsia="Calibri"/>
          <w:lang w:val="en-US"/>
        </w:rPr>
        <w:t xml:space="preserve"> goal </w:t>
      </w:r>
      <w:r w:rsidR="00F40036" w:rsidRPr="00D16B79">
        <w:rPr>
          <w:rFonts w:eastAsia="Calibri"/>
          <w:lang w:val="en-US"/>
        </w:rPr>
        <w:t>(M = 5.7</w:t>
      </w:r>
      <w:r w:rsidR="00662904" w:rsidRPr="00D16B79">
        <w:rPr>
          <w:rFonts w:eastAsia="Calibri"/>
          <w:lang w:val="en-US"/>
        </w:rPr>
        <w:t>8</w:t>
      </w:r>
      <w:r w:rsidR="00F40036" w:rsidRPr="00D16B79">
        <w:rPr>
          <w:rFonts w:eastAsia="Calibri"/>
          <w:lang w:val="en-US"/>
        </w:rPr>
        <w:t>, SD = 1.4</w:t>
      </w:r>
      <w:r w:rsidR="00662904" w:rsidRPr="00D16B79">
        <w:rPr>
          <w:rFonts w:eastAsia="Calibri"/>
          <w:lang w:val="en-US"/>
        </w:rPr>
        <w:t>6</w:t>
      </w:r>
      <w:r w:rsidR="00F40036" w:rsidRPr="00D16B79">
        <w:rPr>
          <w:rFonts w:eastAsia="Calibri"/>
          <w:lang w:val="en-US"/>
        </w:rPr>
        <w:t xml:space="preserve">) than the one who was </w:t>
      </w:r>
      <w:r w:rsidR="003C404E" w:rsidRPr="00D16B79">
        <w:rPr>
          <w:rFonts w:eastAsia="Calibri"/>
          <w:lang w:val="en-US"/>
        </w:rPr>
        <w:t>farther</w:t>
      </w:r>
      <w:r w:rsidR="00F40036" w:rsidRPr="00D16B79">
        <w:rPr>
          <w:rFonts w:eastAsia="Calibri"/>
          <w:lang w:val="en-US"/>
        </w:rPr>
        <w:t xml:space="preserve"> from </w:t>
      </w:r>
      <w:r w:rsidR="00C25951" w:rsidRPr="00D16B79">
        <w:rPr>
          <w:rFonts w:eastAsia="Calibri"/>
          <w:lang w:val="en-US"/>
        </w:rPr>
        <w:t>her</w:t>
      </w:r>
      <w:r w:rsidR="00F40036" w:rsidRPr="00D16B79">
        <w:rPr>
          <w:rFonts w:eastAsia="Calibri"/>
          <w:lang w:val="en-US"/>
        </w:rPr>
        <w:t xml:space="preserve"> goal (M = 5.3</w:t>
      </w:r>
      <w:r w:rsidR="00662904" w:rsidRPr="00D16B79">
        <w:rPr>
          <w:rFonts w:eastAsia="Calibri"/>
          <w:lang w:val="en-US"/>
        </w:rPr>
        <w:t>3</w:t>
      </w:r>
      <w:r w:rsidR="00F40036" w:rsidRPr="00D16B79">
        <w:rPr>
          <w:rFonts w:eastAsia="Calibri"/>
          <w:lang w:val="en-US"/>
        </w:rPr>
        <w:t>, SD = 1.</w:t>
      </w:r>
      <w:r w:rsidR="00662904" w:rsidRPr="00D16B79">
        <w:rPr>
          <w:rFonts w:eastAsia="Calibri"/>
          <w:lang w:val="en-US"/>
        </w:rPr>
        <w:t>51</w:t>
      </w:r>
      <w:r w:rsidR="00F40036" w:rsidRPr="00D16B79">
        <w:rPr>
          <w:rFonts w:eastAsia="Calibri"/>
          <w:lang w:val="en-US"/>
        </w:rPr>
        <w:t>), t(</w:t>
      </w:r>
      <w:r w:rsidR="00662904" w:rsidRPr="00D16B79">
        <w:rPr>
          <w:rFonts w:eastAsia="Calibri"/>
          <w:lang w:val="en-US"/>
        </w:rPr>
        <w:t>179</w:t>
      </w:r>
      <w:r w:rsidR="00F40036" w:rsidRPr="00D16B79">
        <w:rPr>
          <w:rFonts w:eastAsia="Calibri"/>
          <w:lang w:val="en-US"/>
        </w:rPr>
        <w:t xml:space="preserve">) = </w:t>
      </w:r>
      <w:r w:rsidR="00662904" w:rsidRPr="00D16B79">
        <w:rPr>
          <w:rFonts w:eastAsia="Calibri"/>
          <w:lang w:val="en-US"/>
        </w:rPr>
        <w:t>2.02</w:t>
      </w:r>
      <w:r w:rsidR="00F40036" w:rsidRPr="00D16B79">
        <w:rPr>
          <w:rFonts w:eastAsia="Calibri"/>
          <w:lang w:val="en-US"/>
        </w:rPr>
        <w:t xml:space="preserve">, </w:t>
      </w:r>
      <w:r w:rsidR="00F40036" w:rsidRPr="00D16B79">
        <w:rPr>
          <w:rFonts w:eastAsia="Calibri"/>
          <w:i/>
          <w:iCs/>
          <w:lang w:val="en-US"/>
        </w:rPr>
        <w:t>p</w:t>
      </w:r>
      <w:r w:rsidR="00F40036" w:rsidRPr="00D16B79">
        <w:rPr>
          <w:rFonts w:eastAsia="Calibri"/>
          <w:lang w:val="en-US"/>
        </w:rPr>
        <w:t xml:space="preserve"> = .</w:t>
      </w:r>
      <w:r w:rsidR="00CA66A2" w:rsidRPr="00D16B79">
        <w:rPr>
          <w:rFonts w:eastAsia="Calibri"/>
          <w:lang w:val="en-US"/>
        </w:rPr>
        <w:t>05</w:t>
      </w:r>
      <w:r w:rsidR="00F40036" w:rsidRPr="00D16B79">
        <w:rPr>
          <w:rFonts w:eastAsia="Calibri"/>
          <w:lang w:val="en-US"/>
        </w:rPr>
        <w:t xml:space="preserve">, consistent with previous work on the goal gradient hypothesis. </w:t>
      </w:r>
    </w:p>
    <w:p w14:paraId="79DF94E7" w14:textId="2F3B3733" w:rsidR="00F905C1" w:rsidRPr="00D16B79" w:rsidRDefault="00F905C1" w:rsidP="00D87751">
      <w:pPr>
        <w:pStyle w:val="Caption"/>
        <w:keepNext/>
        <w:spacing w:line="240" w:lineRule="auto"/>
        <w:rPr>
          <w:b w:val="0"/>
        </w:rPr>
      </w:pPr>
      <w:r w:rsidRPr="00D16B79">
        <w:rPr>
          <w:b w:val="0"/>
        </w:rPr>
        <w:t xml:space="preserve">Figure </w:t>
      </w:r>
      <w:r w:rsidR="00D87751" w:rsidRPr="00D16B79">
        <w:rPr>
          <w:b w:val="0"/>
        </w:rPr>
        <w:t xml:space="preserve">3: </w:t>
      </w:r>
      <w:r w:rsidRPr="00D16B79">
        <w:rPr>
          <w:b w:val="0"/>
        </w:rPr>
        <w:t>PURCHASE LIKELIHOOD FOR CANDY IN JE VS</w:t>
      </w:r>
      <w:r w:rsidR="00B00401" w:rsidRPr="00D16B79">
        <w:rPr>
          <w:b w:val="0"/>
        </w:rPr>
        <w:t>.</w:t>
      </w:r>
      <w:r w:rsidRPr="00D16B79">
        <w:rPr>
          <w:b w:val="0"/>
        </w:rPr>
        <w:t xml:space="preserve"> SE</w:t>
      </w:r>
      <w:r w:rsidR="00FC6C8C" w:rsidRPr="00D16B79">
        <w:rPr>
          <w:b w:val="0"/>
        </w:rPr>
        <w:t xml:space="preserve"> IN STUDY </w:t>
      </w:r>
      <w:r w:rsidR="002B58C0" w:rsidRPr="00D16B79">
        <w:rPr>
          <w:b w:val="0"/>
        </w:rPr>
        <w:t>2</w:t>
      </w:r>
    </w:p>
    <w:p w14:paraId="2B9B35CE" w14:textId="7C6BF6F9" w:rsidR="00662904" w:rsidRPr="00D16B79" w:rsidRDefault="00662904" w:rsidP="00F905C1">
      <w:pPr>
        <w:jc w:val="center"/>
        <w:rPr>
          <w:lang w:val="en-US"/>
        </w:rPr>
      </w:pPr>
    </w:p>
    <w:p w14:paraId="54EEB82D" w14:textId="5F87BB94" w:rsidR="00662904" w:rsidRPr="00D16B79" w:rsidRDefault="00662904" w:rsidP="00F905C1">
      <w:pPr>
        <w:jc w:val="center"/>
        <w:rPr>
          <w:lang w:val="en-US"/>
        </w:rPr>
      </w:pPr>
      <w:r w:rsidRPr="00D16B79">
        <w:rPr>
          <w:noProof/>
          <w:lang w:val="en-US"/>
        </w:rPr>
        <w:drawing>
          <wp:inline distT="0" distB="0" distL="0" distR="0" wp14:anchorId="753414F3" wp14:editId="568B6851">
            <wp:extent cx="4292600" cy="2417197"/>
            <wp:effectExtent l="0" t="0" r="0" b="2540"/>
            <wp:docPr id="11" name="Chart 11">
              <a:extLst xmlns:a="http://schemas.openxmlformats.org/drawingml/2006/main">
                <a:ext uri="{FF2B5EF4-FFF2-40B4-BE49-F238E27FC236}">
                  <a16:creationId xmlns:a16="http://schemas.microsoft.com/office/drawing/2014/main" id="{D9887F45-32A1-4363-8FE4-84CAAEABF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7C3278" w14:textId="7ED4204E" w:rsidR="00BA27EB" w:rsidRPr="00D16B79" w:rsidRDefault="001F1F58" w:rsidP="001F1F58">
      <w:pPr>
        <w:spacing w:line="276" w:lineRule="auto"/>
        <w:rPr>
          <w:i/>
          <w:sz w:val="18"/>
          <w:szCs w:val="18"/>
          <w:lang w:val="en-US"/>
        </w:rPr>
      </w:pPr>
      <w:bookmarkStart w:id="17" w:name="_Hlk156588679"/>
      <w:r w:rsidRPr="00D16B79">
        <w:rPr>
          <w:i/>
          <w:sz w:val="18"/>
          <w:szCs w:val="18"/>
          <w:lang w:val="en-US"/>
        </w:rPr>
        <w:t>Note: Error bars represent ±1 standard error.</w:t>
      </w:r>
    </w:p>
    <w:bookmarkEnd w:id="17"/>
    <w:p w14:paraId="1433B294" w14:textId="5F7E66AA" w:rsidR="0005224E" w:rsidRPr="00D16B79" w:rsidRDefault="0005224E" w:rsidP="00884455">
      <w:pPr>
        <w:spacing w:line="480" w:lineRule="auto"/>
        <w:ind w:firstLine="720"/>
        <w:rPr>
          <w:rFonts w:ascii="Times New Roman" w:eastAsia="Calibri" w:hAnsi="Times New Roman"/>
          <w:lang w:val="en-US" w:eastAsia="en-US"/>
        </w:rPr>
      </w:pPr>
      <w:r w:rsidRPr="00D16B79">
        <w:rPr>
          <w:rFonts w:ascii="Times New Roman" w:eastAsia="Calibri" w:hAnsi="Times New Roman"/>
          <w:i/>
          <w:iCs/>
          <w:lang w:val="en-US" w:eastAsia="en-US"/>
        </w:rPr>
        <w:t>Spending $1</w:t>
      </w:r>
      <w:bookmarkStart w:id="18" w:name="_Hlk133307920"/>
      <w:r w:rsidRPr="00D16B79">
        <w:rPr>
          <w:rFonts w:ascii="Times New Roman" w:eastAsia="Calibri" w:hAnsi="Times New Roman"/>
          <w:i/>
          <w:iCs/>
          <w:lang w:val="en-US" w:eastAsia="en-US"/>
        </w:rPr>
        <w:t xml:space="preserve">. </w:t>
      </w:r>
      <w:r w:rsidRPr="00D16B79">
        <w:rPr>
          <w:rFonts w:ascii="Times New Roman" w:eastAsia="Calibri" w:hAnsi="Times New Roman"/>
          <w:lang w:val="en-US" w:eastAsia="en-US"/>
        </w:rPr>
        <w:t xml:space="preserve">A chi-square test revealed that participants chose to </w:t>
      </w:r>
      <w:r w:rsidR="00B84B7B">
        <w:rPr>
          <w:rFonts w:ascii="Times New Roman" w:eastAsia="Calibri" w:hAnsi="Times New Roman"/>
          <w:lang w:val="en-US" w:eastAsia="en-US"/>
        </w:rPr>
        <w:t>allocate</w:t>
      </w:r>
      <w:r w:rsidR="00B84B7B" w:rsidRPr="00D16B79">
        <w:rPr>
          <w:rFonts w:ascii="Times New Roman" w:eastAsia="Calibri" w:hAnsi="Times New Roman"/>
          <w:lang w:val="en-US" w:eastAsia="en-US"/>
        </w:rPr>
        <w:t xml:space="preserve"> </w:t>
      </w:r>
      <w:r w:rsidRPr="00D16B79">
        <w:rPr>
          <w:rFonts w:ascii="Times New Roman" w:eastAsia="Calibri" w:hAnsi="Times New Roman"/>
          <w:lang w:val="en-US" w:eastAsia="en-US"/>
        </w:rPr>
        <w:t>their $1 differently across conditions, χ</w:t>
      </w:r>
      <w:r w:rsidRPr="00D16B79">
        <w:rPr>
          <w:rFonts w:ascii="Times New Roman" w:eastAsia="Calibri" w:hAnsi="Times New Roman"/>
          <w:vertAlign w:val="superscript"/>
          <w:lang w:val="en-US" w:eastAsia="en-US"/>
        </w:rPr>
        <w:t>2</w:t>
      </w:r>
      <w:r w:rsidRPr="00D16B79">
        <w:rPr>
          <w:rFonts w:ascii="Times New Roman" w:eastAsia="Calibri" w:hAnsi="Times New Roman"/>
          <w:lang w:val="en-US" w:eastAsia="en-US"/>
        </w:rPr>
        <w:t xml:space="preserve">(2, N = 273) = 16.00, </w:t>
      </w:r>
      <w:r w:rsidRPr="00D16B79">
        <w:rPr>
          <w:rFonts w:ascii="Times New Roman" w:eastAsia="Calibri" w:hAnsi="Times New Roman"/>
          <w:i/>
          <w:iCs/>
          <w:lang w:val="en-US" w:eastAsia="en-US"/>
        </w:rPr>
        <w:t>p</w:t>
      </w:r>
      <w:r w:rsidRPr="00D16B79">
        <w:rPr>
          <w:rFonts w:ascii="Times New Roman" w:eastAsia="Calibri" w:hAnsi="Times New Roman"/>
          <w:lang w:val="en-US" w:eastAsia="en-US"/>
        </w:rPr>
        <w:t xml:space="preserve"> &lt; .001. </w:t>
      </w:r>
      <w:r w:rsidR="001548E0" w:rsidRPr="00D16B79">
        <w:rPr>
          <w:rFonts w:ascii="Times New Roman" w:eastAsia="Calibri" w:hAnsi="Times New Roman"/>
          <w:lang w:val="en-US" w:eastAsia="en-US"/>
        </w:rPr>
        <w:t>As anticipated, i</w:t>
      </w:r>
      <w:r w:rsidRPr="00D16B79">
        <w:rPr>
          <w:rFonts w:ascii="Times New Roman" w:eastAsia="Calibri" w:hAnsi="Times New Roman"/>
          <w:lang w:val="en-US" w:eastAsia="en-US"/>
        </w:rPr>
        <w:t xml:space="preserve">n joint evaluation, the majority of participants (56%, N = 51) chose to give to the student </w:t>
      </w:r>
      <w:r w:rsidR="003C404E" w:rsidRPr="00D16B79">
        <w:rPr>
          <w:rFonts w:ascii="Times New Roman" w:eastAsia="Calibri" w:hAnsi="Times New Roman"/>
          <w:lang w:val="en-US" w:eastAsia="en-US"/>
        </w:rPr>
        <w:t>farther</w:t>
      </w:r>
      <w:r w:rsidRPr="00D16B79">
        <w:rPr>
          <w:rFonts w:ascii="Times New Roman" w:eastAsia="Calibri" w:hAnsi="Times New Roman"/>
          <w:lang w:val="en-US" w:eastAsia="en-US"/>
        </w:rPr>
        <w:t xml:space="preserve"> from </w:t>
      </w:r>
      <w:r w:rsidR="00B00401" w:rsidRPr="00D16B79">
        <w:rPr>
          <w:rFonts w:ascii="Times New Roman" w:eastAsia="Calibri" w:hAnsi="Times New Roman"/>
          <w:lang w:val="en-US" w:eastAsia="en-US"/>
        </w:rPr>
        <w:t>her</w:t>
      </w:r>
      <w:r w:rsidRPr="00D16B79">
        <w:rPr>
          <w:rFonts w:ascii="Times New Roman" w:eastAsia="Calibri" w:hAnsi="Times New Roman"/>
          <w:lang w:val="en-US" w:eastAsia="en-US"/>
        </w:rPr>
        <w:t xml:space="preserve"> goal</w:t>
      </w:r>
      <w:r w:rsidR="00B00401" w:rsidRPr="00D16B79">
        <w:rPr>
          <w:rFonts w:ascii="Times New Roman" w:eastAsia="Calibri" w:hAnsi="Times New Roman"/>
          <w:lang w:val="en-US" w:eastAsia="en-US"/>
        </w:rPr>
        <w:t>,</w:t>
      </w:r>
      <w:r w:rsidRPr="00D16B79">
        <w:rPr>
          <w:rFonts w:ascii="Times New Roman" w:eastAsia="Calibri" w:hAnsi="Times New Roman"/>
          <w:lang w:val="en-US" w:eastAsia="en-US"/>
        </w:rPr>
        <w:t xml:space="preserve"> while fewer chose to give to the student closer to </w:t>
      </w:r>
      <w:r w:rsidR="001F4902" w:rsidRPr="00D16B79">
        <w:rPr>
          <w:rFonts w:ascii="Times New Roman" w:eastAsia="Calibri" w:hAnsi="Times New Roman"/>
          <w:lang w:val="en-US" w:eastAsia="en-US"/>
        </w:rPr>
        <w:t>her</w:t>
      </w:r>
      <w:r w:rsidRPr="00D16B79">
        <w:rPr>
          <w:rFonts w:ascii="Times New Roman" w:eastAsia="Calibri" w:hAnsi="Times New Roman"/>
          <w:lang w:val="en-US" w:eastAsia="en-US"/>
        </w:rPr>
        <w:t xml:space="preserve"> goal (29%, N = 26) or to keep the money for themselves (15%, N = 14)</w:t>
      </w:r>
      <w:r w:rsidR="007B543C">
        <w:rPr>
          <w:rFonts w:ascii="Times New Roman" w:eastAsia="Calibri" w:hAnsi="Times New Roman"/>
          <w:lang w:val="en-US" w:eastAsia="en-US"/>
        </w:rPr>
        <w:t xml:space="preserve">, </w:t>
      </w:r>
      <w:r w:rsidR="007B543C" w:rsidRPr="00D16B79">
        <w:rPr>
          <w:rFonts w:ascii="Times New Roman" w:eastAsia="Calibri" w:hAnsi="Times New Roman"/>
          <w:lang w:val="en-US" w:eastAsia="en-US"/>
        </w:rPr>
        <w:t>χ</w:t>
      </w:r>
      <w:r w:rsidR="007B543C" w:rsidRPr="00D16B79">
        <w:rPr>
          <w:rFonts w:ascii="Times New Roman" w:eastAsia="Calibri" w:hAnsi="Times New Roman"/>
          <w:vertAlign w:val="superscript"/>
          <w:lang w:val="en-US" w:eastAsia="en-US"/>
        </w:rPr>
        <w:t>2</w:t>
      </w:r>
      <w:r w:rsidR="007B543C" w:rsidRPr="00D16B79">
        <w:rPr>
          <w:rFonts w:ascii="Times New Roman" w:eastAsia="Calibri" w:hAnsi="Times New Roman"/>
          <w:lang w:val="en-US" w:eastAsia="en-US"/>
        </w:rPr>
        <w:t>(</w:t>
      </w:r>
      <w:r w:rsidR="0007191E">
        <w:rPr>
          <w:rFonts w:ascii="Times New Roman" w:eastAsia="Calibri" w:hAnsi="Times New Roman"/>
          <w:lang w:val="en-US" w:eastAsia="en-US"/>
        </w:rPr>
        <w:t xml:space="preserve">2, </w:t>
      </w:r>
      <w:r w:rsidR="007B543C" w:rsidRPr="00D16B79">
        <w:rPr>
          <w:rFonts w:ascii="Times New Roman" w:eastAsia="Calibri" w:hAnsi="Times New Roman"/>
          <w:lang w:val="en-US" w:eastAsia="en-US"/>
        </w:rPr>
        <w:t xml:space="preserve">N = </w:t>
      </w:r>
      <w:r w:rsidR="00F827F6">
        <w:rPr>
          <w:rFonts w:ascii="Times New Roman" w:eastAsia="Calibri" w:hAnsi="Times New Roman"/>
          <w:lang w:val="en-US" w:eastAsia="en-US"/>
        </w:rPr>
        <w:t>91</w:t>
      </w:r>
      <w:r w:rsidR="007B543C" w:rsidRPr="00D16B79">
        <w:rPr>
          <w:rFonts w:ascii="Times New Roman" w:eastAsia="Calibri" w:hAnsi="Times New Roman"/>
          <w:lang w:val="en-US" w:eastAsia="en-US"/>
        </w:rPr>
        <w:t xml:space="preserve">) = </w:t>
      </w:r>
      <w:r w:rsidR="00F827F6">
        <w:rPr>
          <w:rFonts w:ascii="Times New Roman" w:eastAsia="Calibri" w:hAnsi="Times New Roman"/>
          <w:lang w:val="en-US" w:eastAsia="en-US"/>
        </w:rPr>
        <w:t>21.97</w:t>
      </w:r>
      <w:r w:rsidR="007B543C" w:rsidRPr="00D16B79">
        <w:rPr>
          <w:rFonts w:ascii="Times New Roman" w:eastAsia="Calibri" w:hAnsi="Times New Roman"/>
          <w:lang w:val="en-US" w:eastAsia="en-US"/>
        </w:rPr>
        <w:t xml:space="preserve">, </w:t>
      </w:r>
      <w:r w:rsidR="007B543C" w:rsidRPr="00D16B79">
        <w:rPr>
          <w:rFonts w:ascii="Times New Roman" w:eastAsia="Calibri" w:hAnsi="Times New Roman"/>
          <w:i/>
          <w:iCs/>
          <w:lang w:val="en-US" w:eastAsia="en-US"/>
        </w:rPr>
        <w:t>p</w:t>
      </w:r>
      <w:r w:rsidR="007B543C" w:rsidRPr="00D16B79">
        <w:rPr>
          <w:rFonts w:ascii="Times New Roman" w:eastAsia="Calibri" w:hAnsi="Times New Roman"/>
          <w:lang w:val="en-US" w:eastAsia="en-US"/>
        </w:rPr>
        <w:t xml:space="preserve"> &lt; .001</w:t>
      </w:r>
      <w:r w:rsidRPr="00D16B79">
        <w:rPr>
          <w:rFonts w:ascii="Times New Roman" w:eastAsia="Calibri" w:hAnsi="Times New Roman"/>
          <w:lang w:val="en-US" w:eastAsia="en-US"/>
        </w:rPr>
        <w:t xml:space="preserve">. In separate evaluation, </w:t>
      </w:r>
      <w:r w:rsidR="00CA66A2" w:rsidRPr="00D16B79">
        <w:rPr>
          <w:rFonts w:ascii="Times New Roman" w:eastAsia="Calibri" w:hAnsi="Times New Roman"/>
          <w:lang w:val="en-US" w:eastAsia="en-US"/>
        </w:rPr>
        <w:t>t</w:t>
      </w:r>
      <w:r w:rsidRPr="00D16B79">
        <w:rPr>
          <w:rFonts w:ascii="Times New Roman" w:eastAsia="Calibri" w:hAnsi="Times New Roman"/>
          <w:lang w:val="en-US" w:eastAsia="en-US"/>
        </w:rPr>
        <w:t xml:space="preserve">here was no difference between </w:t>
      </w:r>
      <w:r w:rsidR="00CA66A2" w:rsidRPr="00D16B79">
        <w:rPr>
          <w:rFonts w:ascii="Times New Roman" w:eastAsia="Calibri" w:hAnsi="Times New Roman"/>
          <w:lang w:val="en-US" w:eastAsia="en-US"/>
        </w:rPr>
        <w:t xml:space="preserve">the </w:t>
      </w:r>
      <w:r w:rsidRPr="00D16B79">
        <w:rPr>
          <w:rFonts w:ascii="Times New Roman" w:eastAsia="Calibri" w:hAnsi="Times New Roman"/>
          <w:lang w:val="en-US" w:eastAsia="en-US"/>
        </w:rPr>
        <w:t xml:space="preserve">choice to donate or keep the money for oneself </w:t>
      </w:r>
      <w:r w:rsidR="00CA66A2" w:rsidRPr="00D16B79">
        <w:rPr>
          <w:rFonts w:ascii="Times New Roman" w:eastAsia="Calibri" w:hAnsi="Times New Roman"/>
          <w:lang w:val="en-US" w:eastAsia="en-US"/>
        </w:rPr>
        <w:t>(student closer to her goal: 35%, N = 63; farther from her goal: 32%, N = 59; keeping the money for oneself: 33%, N = 60)</w:t>
      </w:r>
      <w:r w:rsidR="00841F0C" w:rsidRPr="00D16B79">
        <w:rPr>
          <w:rFonts w:ascii="Times New Roman" w:eastAsia="Calibri" w:hAnsi="Times New Roman"/>
          <w:lang w:val="en-US" w:eastAsia="en-US"/>
        </w:rPr>
        <w:t>,</w:t>
      </w:r>
      <w:r w:rsidRPr="00D16B79">
        <w:rPr>
          <w:rFonts w:ascii="Times New Roman" w:eastAsia="Calibri" w:hAnsi="Times New Roman"/>
          <w:lang w:val="en-US" w:eastAsia="en-US"/>
        </w:rPr>
        <w:t xml:space="preserve"> χ</w:t>
      </w:r>
      <w:r w:rsidRPr="00D16B79">
        <w:rPr>
          <w:rFonts w:ascii="Times New Roman" w:eastAsia="Calibri" w:hAnsi="Times New Roman"/>
          <w:vertAlign w:val="superscript"/>
          <w:lang w:val="en-US" w:eastAsia="en-US"/>
        </w:rPr>
        <w:t>2</w:t>
      </w:r>
      <w:r w:rsidRPr="00D16B79">
        <w:rPr>
          <w:rFonts w:ascii="Times New Roman" w:eastAsia="Calibri" w:hAnsi="Times New Roman"/>
          <w:lang w:val="en-US" w:eastAsia="en-US"/>
        </w:rPr>
        <w:t>(2, N = 182) = 0.</w:t>
      </w:r>
      <w:r w:rsidR="001C51E8" w:rsidRPr="00D16B79">
        <w:rPr>
          <w:rFonts w:ascii="Times New Roman" w:eastAsia="Calibri" w:hAnsi="Times New Roman"/>
          <w:lang w:val="en-US" w:eastAsia="en-US"/>
        </w:rPr>
        <w:t>23</w:t>
      </w:r>
      <w:r w:rsidRPr="00D16B79">
        <w:rPr>
          <w:rFonts w:ascii="Times New Roman" w:eastAsia="Calibri" w:hAnsi="Times New Roman"/>
          <w:lang w:val="en-US" w:eastAsia="en-US"/>
        </w:rPr>
        <w:t xml:space="preserve">, </w:t>
      </w:r>
      <w:r w:rsidRPr="00D16B79">
        <w:rPr>
          <w:rFonts w:ascii="Times New Roman" w:eastAsia="Calibri" w:hAnsi="Times New Roman"/>
          <w:i/>
          <w:iCs/>
          <w:lang w:val="en-US" w:eastAsia="en-US"/>
        </w:rPr>
        <w:t>p</w:t>
      </w:r>
      <w:r w:rsidRPr="00D16B79">
        <w:rPr>
          <w:rFonts w:ascii="Times New Roman" w:eastAsia="Calibri" w:hAnsi="Times New Roman"/>
          <w:lang w:val="en-US" w:eastAsia="en-US"/>
        </w:rPr>
        <w:t xml:space="preserve"> = .</w:t>
      </w:r>
      <w:r w:rsidR="001C51E8" w:rsidRPr="00D16B79">
        <w:rPr>
          <w:rFonts w:ascii="Times New Roman" w:eastAsia="Calibri" w:hAnsi="Times New Roman"/>
          <w:lang w:val="en-US" w:eastAsia="en-US"/>
        </w:rPr>
        <w:t>89</w:t>
      </w:r>
      <w:r w:rsidRPr="00D16B79">
        <w:rPr>
          <w:rFonts w:ascii="Times New Roman" w:eastAsia="Calibri" w:hAnsi="Times New Roman"/>
          <w:lang w:val="en-US" w:eastAsia="en-US"/>
        </w:rPr>
        <w:t xml:space="preserve">. </w:t>
      </w:r>
      <w:bookmarkEnd w:id="18"/>
    </w:p>
    <w:p w14:paraId="7C86D3FD" w14:textId="661BEB63" w:rsidR="00A21C27" w:rsidRPr="00D16B79" w:rsidRDefault="00E473EF" w:rsidP="001F2D46">
      <w:pPr>
        <w:spacing w:line="480" w:lineRule="auto"/>
        <w:ind w:firstLine="720"/>
        <w:rPr>
          <w:rFonts w:eastAsia="Calibri"/>
          <w:lang w:val="en-US"/>
        </w:rPr>
      </w:pPr>
      <w:r w:rsidRPr="00D16B79">
        <w:rPr>
          <w:rFonts w:ascii="Times New Roman" w:eastAsia="Calibri" w:hAnsi="Times New Roman"/>
          <w:i/>
          <w:iCs/>
          <w:lang w:val="en-US" w:eastAsia="en-US"/>
        </w:rPr>
        <w:t>Mediation</w:t>
      </w:r>
      <w:r w:rsidR="0012715C" w:rsidRPr="00D16B79">
        <w:rPr>
          <w:rFonts w:ascii="Times New Roman" w:eastAsia="Calibri" w:hAnsi="Times New Roman"/>
          <w:i/>
          <w:iCs/>
          <w:lang w:val="en-US" w:eastAsia="en-US"/>
        </w:rPr>
        <w:t>.</w:t>
      </w:r>
      <w:r w:rsidRPr="00D16B79">
        <w:rPr>
          <w:rFonts w:ascii="Times New Roman" w:eastAsia="Calibri" w:hAnsi="Times New Roman"/>
          <w:lang w:val="en-US" w:eastAsia="en-US"/>
        </w:rPr>
        <w:t xml:space="preserve"> </w:t>
      </w:r>
      <w:r w:rsidR="000643BA" w:rsidRPr="00D16B79">
        <w:rPr>
          <w:rFonts w:eastAsia="Calibri"/>
          <w:lang w:val="en-US"/>
        </w:rPr>
        <w:t>As this study used a mixed design where mediators and dependent variables were measured within-subject in joint evaluation and between</w:t>
      </w:r>
      <w:r w:rsidR="00986722" w:rsidRPr="00D16B79">
        <w:rPr>
          <w:rFonts w:eastAsia="Calibri"/>
          <w:lang w:val="en-US"/>
        </w:rPr>
        <w:t>-</w:t>
      </w:r>
      <w:r w:rsidR="003943F2">
        <w:rPr>
          <w:rFonts w:eastAsia="Calibri"/>
          <w:lang w:val="en-US"/>
        </w:rPr>
        <w:t>subject</w:t>
      </w:r>
      <w:r w:rsidR="00755070" w:rsidRPr="00D16B79">
        <w:rPr>
          <w:rFonts w:eastAsia="Calibri"/>
          <w:lang w:val="en-US"/>
        </w:rPr>
        <w:t xml:space="preserve"> </w:t>
      </w:r>
      <w:r w:rsidR="000643BA" w:rsidRPr="00D16B79">
        <w:rPr>
          <w:rFonts w:eastAsia="Calibri"/>
          <w:lang w:val="en-US"/>
        </w:rPr>
        <w:t xml:space="preserve">in separate evaluation, we </w:t>
      </w:r>
      <w:r w:rsidR="00EB13F3" w:rsidRPr="00D16B79">
        <w:rPr>
          <w:rFonts w:eastAsia="Calibri"/>
          <w:lang w:val="en-US"/>
        </w:rPr>
        <w:t xml:space="preserve">assessed </w:t>
      </w:r>
      <w:r w:rsidR="000643BA" w:rsidRPr="00D16B79">
        <w:rPr>
          <w:rFonts w:eastAsia="Calibri"/>
          <w:lang w:val="en-US"/>
        </w:rPr>
        <w:t xml:space="preserve">the role of mediators for joint </w:t>
      </w:r>
      <w:r w:rsidR="00986722" w:rsidRPr="00D16B79">
        <w:rPr>
          <w:rFonts w:eastAsia="Calibri"/>
          <w:lang w:val="en-US"/>
        </w:rPr>
        <w:t>and</w:t>
      </w:r>
      <w:r w:rsidR="000643BA" w:rsidRPr="00D16B79">
        <w:rPr>
          <w:rFonts w:eastAsia="Calibri"/>
          <w:lang w:val="en-US"/>
        </w:rPr>
        <w:t xml:space="preserve"> separate evaluation </w:t>
      </w:r>
      <w:r w:rsidR="003943F2" w:rsidRPr="00D16B79">
        <w:rPr>
          <w:rFonts w:eastAsia="Calibri"/>
          <w:lang w:val="en-US"/>
        </w:rPr>
        <w:t>individually</w:t>
      </w:r>
      <w:r w:rsidR="000643BA" w:rsidRPr="00D16B79">
        <w:rPr>
          <w:rFonts w:eastAsia="Calibri"/>
          <w:lang w:val="en-US"/>
        </w:rPr>
        <w:t xml:space="preserve">. </w:t>
      </w:r>
      <w:r w:rsidRPr="00D16B79">
        <w:rPr>
          <w:rFonts w:ascii="Times New Roman" w:eastAsia="Calibri" w:hAnsi="Times New Roman"/>
          <w:lang w:val="en-US" w:eastAsia="en-US"/>
        </w:rPr>
        <w:t xml:space="preserve">To determine the role of perceived need </w:t>
      </w:r>
      <w:r w:rsidR="00CA66A2" w:rsidRPr="00D16B79">
        <w:rPr>
          <w:rFonts w:ascii="Times New Roman" w:eastAsia="Calibri" w:hAnsi="Times New Roman"/>
          <w:lang w:val="en-US" w:eastAsia="en-US"/>
        </w:rPr>
        <w:t xml:space="preserve">for help </w:t>
      </w:r>
      <w:r w:rsidRPr="00D16B79">
        <w:rPr>
          <w:rFonts w:ascii="Times New Roman" w:eastAsia="Calibri" w:hAnsi="Times New Roman"/>
          <w:lang w:val="en-US" w:eastAsia="en-US"/>
        </w:rPr>
        <w:t xml:space="preserve">as a </w:t>
      </w:r>
      <w:r w:rsidR="009948BE" w:rsidRPr="00D16B79">
        <w:rPr>
          <w:rFonts w:ascii="Times New Roman" w:eastAsia="Calibri" w:hAnsi="Times New Roman"/>
          <w:lang w:val="en-US" w:eastAsia="en-US"/>
        </w:rPr>
        <w:t xml:space="preserve">potential </w:t>
      </w:r>
      <w:r w:rsidRPr="00D16B79">
        <w:rPr>
          <w:rFonts w:ascii="Times New Roman" w:eastAsia="Calibri" w:hAnsi="Times New Roman"/>
          <w:lang w:val="en-US" w:eastAsia="en-US"/>
        </w:rPr>
        <w:t xml:space="preserve">mechanism in the joint evaluation condition, we </w:t>
      </w:r>
      <w:r w:rsidRPr="00D16B79">
        <w:rPr>
          <w:rFonts w:ascii="Times New Roman" w:eastAsia="Calibri" w:hAnsi="Times New Roman"/>
          <w:lang w:val="en-US" w:eastAsia="en-US"/>
        </w:rPr>
        <w:lastRenderedPageBreak/>
        <w:t>followed Montoya and Hayes</w:t>
      </w:r>
      <w:r w:rsidR="00986722" w:rsidRPr="00D16B79">
        <w:rPr>
          <w:rFonts w:ascii="Times New Roman" w:eastAsia="Calibri" w:hAnsi="Times New Roman"/>
          <w:lang w:val="en-US" w:eastAsia="en-US"/>
        </w:rPr>
        <w:t>’</w:t>
      </w:r>
      <w:r w:rsidRPr="00D16B79">
        <w:rPr>
          <w:rFonts w:ascii="Times New Roman" w:eastAsia="Calibri" w:hAnsi="Times New Roman"/>
          <w:lang w:val="en-US" w:eastAsia="en-US"/>
        </w:rPr>
        <w:t xml:space="preserve"> </w:t>
      </w:r>
      <w:r w:rsidR="0012715C" w:rsidRPr="00D16B79">
        <w:rPr>
          <w:rFonts w:ascii="Times New Roman" w:eastAsia="Calibri" w:hAnsi="Times New Roman"/>
          <w:lang w:val="en-US" w:eastAsia="en-US"/>
        </w:rPr>
        <w:fldChar w:fldCharType="begin"/>
      </w:r>
      <w:r w:rsidR="00181321">
        <w:rPr>
          <w:rFonts w:ascii="Times New Roman" w:eastAsia="Calibri" w:hAnsi="Times New Roman"/>
          <w:lang w:val="en-US" w:eastAsia="en-US"/>
        </w:rPr>
        <w:instrText xml:space="preserve"> ADDIN ZOTERO_ITEM CSL_CITATION {"citationID":"HfFjvooJ","properties":{"formattedCitation":"(2017)","plainCitation":"(2017)","noteIndex":0},"citationItems":[{"id":1887,"uris":["http://zotero.org/users/4606674/items/RAKIVC63"],"itemData":{"id":1887,"type":"article-journal","abstract":"Researchers interested in testing mediation often use designs where participants are measured on a dependent variable Y and a mediator M in both of 2 different circumstances. The dominant approach to assessing mediation in such a design, proposed by Judd, Kenny, and McClelland (2001), relies on a series of hypothesis tests about components of the mediation model and is not based on an estimate of or formal inference about the indirect effect. In this article we recast Judd et al.’s approach in the path-analytic framework that is now commonly used in between-participant mediation analysis. By so doing, it is apparent how to estimate the indirect effect of a within-participant manipulation on some outcome through a mediator as the product of paths of influence. This path-analytic approach eliminates the need for discrete hypothesis tests about components of the model to support a claim of mediation, as Judd et al.’s method requires, because it relies only on an inference about the product of paths—the indirect effect. We generalize methods of inference for the indirect effect widely used in between-participant designs to this within-participant version of mediation analysis, including bootstrap confidence intervals and Monte Carlo confidence intervals. Using this path-analytic approach, we extend the method to models with multiple mediators operating in parallel and serially and discuss the comparison of indirect effects in these more complex models. We offer macros and code for SPSS, SAS, and Mplus that conduct these analyses. (PsycINFO Database Record (c) 2017 APA, all rights reserved)","container-title":"Psychological Methods","DOI":"10.1037/met0000086","ISSN":"1939-1463(Electronic),1082-989X(Print)","issue":"1","note":"publisher-place: US\npublisher: American Psychological Association","page":"6-27","source":"APA PsycNET","title":"Two-Condition Within-Participant Statistical Mediation Analysis: A Path-Analytic Framework","title-short":"Two-Condition Within-Participant Statistical Mediation Analysis","volume":"22","author":[{"family":"Montoya","given":"Amanda K."},{"family":"Hayes","given":"Andrew F."}],"issued":{"date-parts":[["2017"]]}},"suppress-author":true}],"schema":"https://github.com/citation-style-language/schema/raw/master/csl-citation.json"} </w:instrText>
      </w:r>
      <w:r w:rsidR="0012715C" w:rsidRPr="00D16B79">
        <w:rPr>
          <w:rFonts w:ascii="Times New Roman" w:eastAsia="Calibri" w:hAnsi="Times New Roman"/>
          <w:lang w:val="en-US" w:eastAsia="en-US"/>
        </w:rPr>
        <w:fldChar w:fldCharType="separate"/>
      </w:r>
      <w:r w:rsidR="00FA5441" w:rsidRPr="00D16B79">
        <w:rPr>
          <w:rFonts w:ascii="Times New Roman" w:hAnsi="Times New Roman"/>
          <w:lang w:val="en-US"/>
        </w:rPr>
        <w:t>(2017)</w:t>
      </w:r>
      <w:r w:rsidR="0012715C" w:rsidRPr="00D16B79">
        <w:rPr>
          <w:rFonts w:ascii="Times New Roman" w:eastAsia="Calibri" w:hAnsi="Times New Roman"/>
          <w:lang w:val="en-US" w:eastAsia="en-US"/>
        </w:rPr>
        <w:fldChar w:fldCharType="end"/>
      </w:r>
      <w:r w:rsidRPr="00D16B79">
        <w:rPr>
          <w:rFonts w:ascii="Times New Roman" w:eastAsia="Calibri" w:hAnsi="Times New Roman"/>
          <w:lang w:val="en-US" w:eastAsia="en-US"/>
        </w:rPr>
        <w:t xml:space="preserve"> procedure for mediation analysis with within-subject data using the MEMORE macro for SPSS with </w:t>
      </w:r>
      <w:r w:rsidR="000643BA" w:rsidRPr="00D16B79">
        <w:rPr>
          <w:rFonts w:ascii="Times New Roman" w:eastAsia="Calibri" w:hAnsi="Times New Roman"/>
          <w:lang w:val="en-US" w:eastAsia="en-US"/>
        </w:rPr>
        <w:t>5</w:t>
      </w:r>
      <w:r w:rsidR="00986722" w:rsidRPr="00D16B79">
        <w:rPr>
          <w:rFonts w:ascii="Times New Roman" w:eastAsia="Calibri" w:hAnsi="Times New Roman"/>
          <w:lang w:val="en-US" w:eastAsia="en-US"/>
        </w:rPr>
        <w:t>,</w:t>
      </w:r>
      <w:r w:rsidR="000643BA" w:rsidRPr="00D16B79">
        <w:rPr>
          <w:rFonts w:ascii="Times New Roman" w:eastAsia="Calibri" w:hAnsi="Times New Roman"/>
          <w:lang w:val="en-US" w:eastAsia="en-US"/>
        </w:rPr>
        <w:t xml:space="preserve">000 </w:t>
      </w:r>
      <w:r w:rsidRPr="00D16B79">
        <w:rPr>
          <w:rFonts w:ascii="Times New Roman" w:eastAsia="Calibri" w:hAnsi="Times New Roman"/>
          <w:lang w:val="en-US" w:eastAsia="en-US"/>
        </w:rPr>
        <w:t xml:space="preserve">bootstrap samples. We </w:t>
      </w:r>
      <w:r w:rsidR="004C4456">
        <w:rPr>
          <w:rFonts w:ascii="Times New Roman" w:eastAsia="Calibri" w:hAnsi="Times New Roman"/>
          <w:lang w:val="en-US" w:eastAsia="en-US"/>
        </w:rPr>
        <w:t>fin</w:t>
      </w:r>
      <w:r w:rsidRPr="00D16B79">
        <w:rPr>
          <w:rFonts w:ascii="Times New Roman" w:eastAsia="Calibri" w:hAnsi="Times New Roman"/>
          <w:lang w:val="en-US" w:eastAsia="en-US"/>
        </w:rPr>
        <w:t xml:space="preserve">d a significant indirect effect </w:t>
      </w:r>
      <w:r w:rsidR="006636B1">
        <w:rPr>
          <w:rFonts w:ascii="Times New Roman" w:eastAsia="Calibri" w:hAnsi="Times New Roman"/>
          <w:lang w:val="en-US" w:eastAsia="en-US"/>
        </w:rPr>
        <w:t>where the charity farther f</w:t>
      </w:r>
      <w:r w:rsidR="006636B1" w:rsidRPr="00D16B79">
        <w:rPr>
          <w:rFonts w:ascii="Times New Roman" w:eastAsia="Calibri" w:hAnsi="Times New Roman"/>
          <w:lang w:val="en-US" w:eastAsia="en-US"/>
        </w:rPr>
        <w:t xml:space="preserve">rom </w:t>
      </w:r>
      <w:r w:rsidR="006636B1">
        <w:rPr>
          <w:rFonts w:ascii="Times New Roman" w:eastAsia="Calibri" w:hAnsi="Times New Roman"/>
          <w:lang w:val="en-US" w:eastAsia="en-US"/>
        </w:rPr>
        <w:t xml:space="preserve">(vs. closer to) its </w:t>
      </w:r>
      <w:r w:rsidRPr="00D16B79">
        <w:rPr>
          <w:rFonts w:ascii="Times New Roman" w:eastAsia="Calibri" w:hAnsi="Times New Roman"/>
          <w:lang w:val="en-US" w:eastAsia="en-US"/>
        </w:rPr>
        <w:t>goal</w:t>
      </w:r>
      <w:r w:rsidR="00E37E97" w:rsidRPr="00D16B79">
        <w:rPr>
          <w:rFonts w:ascii="Times New Roman" w:eastAsia="Calibri" w:hAnsi="Times New Roman"/>
          <w:lang w:val="en-US" w:eastAsia="en-US"/>
        </w:rPr>
        <w:t xml:space="preserve"> </w:t>
      </w:r>
      <w:r w:rsidR="006636B1">
        <w:rPr>
          <w:rFonts w:ascii="Times New Roman" w:eastAsia="Calibri" w:hAnsi="Times New Roman"/>
          <w:lang w:val="en-US" w:eastAsia="en-US"/>
        </w:rPr>
        <w:t>was perceived as having a greater need for help</w:t>
      </w:r>
      <w:r w:rsidR="00CE45FE">
        <w:rPr>
          <w:rFonts w:ascii="Times New Roman" w:eastAsia="Calibri" w:hAnsi="Times New Roman"/>
          <w:lang w:val="en-US" w:eastAsia="en-US"/>
        </w:rPr>
        <w:t xml:space="preserve">, driving higher </w:t>
      </w:r>
      <w:r w:rsidR="006360E3" w:rsidRPr="00D16B79">
        <w:rPr>
          <w:rFonts w:eastAsia="Calibri"/>
          <w:lang w:val="en-US"/>
        </w:rPr>
        <w:t xml:space="preserve">likelihood of purchasing candy </w:t>
      </w:r>
      <w:r w:rsidR="00A21C27" w:rsidRPr="00D16B79">
        <w:rPr>
          <w:rFonts w:eastAsia="Calibri"/>
          <w:lang w:val="en-US"/>
        </w:rPr>
        <w:t>in joint evaluation</w:t>
      </w:r>
      <w:r w:rsidR="006360E3" w:rsidRPr="00D16B79">
        <w:rPr>
          <w:rFonts w:eastAsia="Calibri"/>
          <w:lang w:val="en-US"/>
        </w:rPr>
        <w:t>, B = .90, 95% CI [.39, 1.42]</w:t>
      </w:r>
      <w:r w:rsidRPr="00D16B79">
        <w:rPr>
          <w:rFonts w:ascii="Times New Roman" w:eastAsia="Calibri" w:hAnsi="Times New Roman"/>
          <w:lang w:val="en-US" w:eastAsia="en-US"/>
        </w:rPr>
        <w:t xml:space="preserve">. </w:t>
      </w:r>
      <w:r w:rsidR="006360E3" w:rsidRPr="00D16B79">
        <w:rPr>
          <w:rFonts w:eastAsia="Calibri"/>
          <w:lang w:val="en-US"/>
        </w:rPr>
        <w:t>We then tested the role</w:t>
      </w:r>
      <w:r w:rsidR="009948BE" w:rsidRPr="00D16B79">
        <w:rPr>
          <w:rFonts w:eastAsia="Calibri"/>
          <w:lang w:val="en-US"/>
        </w:rPr>
        <w:t>s</w:t>
      </w:r>
      <w:r w:rsidR="006360E3" w:rsidRPr="00D16B79">
        <w:rPr>
          <w:rFonts w:eastAsia="Calibri"/>
          <w:lang w:val="en-US"/>
        </w:rPr>
        <w:t xml:space="preserve"> of need</w:t>
      </w:r>
      <w:r w:rsidR="003943F2">
        <w:rPr>
          <w:rFonts w:eastAsia="Calibri"/>
          <w:lang w:val="en-US"/>
        </w:rPr>
        <w:t xml:space="preserve"> for help</w:t>
      </w:r>
      <w:r w:rsidR="006360E3" w:rsidRPr="00D16B79">
        <w:rPr>
          <w:rFonts w:eastAsia="Calibri"/>
          <w:lang w:val="en-US"/>
        </w:rPr>
        <w:t>, impact, sympathy, and satisfaction as parallel mediators in joint evaluation using the MEMORE package in SPSS. In this model, only the indirect effect of need</w:t>
      </w:r>
      <w:r w:rsidR="003943F2">
        <w:rPr>
          <w:rFonts w:eastAsia="Calibri"/>
          <w:lang w:val="en-US"/>
        </w:rPr>
        <w:t xml:space="preserve"> for help</w:t>
      </w:r>
      <w:r w:rsidR="006360E3" w:rsidRPr="00D16B79">
        <w:rPr>
          <w:rFonts w:eastAsia="Calibri"/>
          <w:lang w:val="en-US"/>
        </w:rPr>
        <w:t xml:space="preserve"> was significant, B = .86, SE = .39, 95% CI [.1</w:t>
      </w:r>
      <w:r w:rsidR="004908AF" w:rsidRPr="00D16B79">
        <w:rPr>
          <w:rFonts w:eastAsia="Calibri"/>
          <w:lang w:val="en-US"/>
        </w:rPr>
        <w:t>1</w:t>
      </w:r>
      <w:r w:rsidR="006360E3" w:rsidRPr="00D16B79">
        <w:rPr>
          <w:rFonts w:eastAsia="Calibri"/>
          <w:lang w:val="en-US"/>
        </w:rPr>
        <w:t>, 1.6</w:t>
      </w:r>
      <w:r w:rsidR="004908AF" w:rsidRPr="00D16B79">
        <w:rPr>
          <w:rFonts w:eastAsia="Calibri"/>
          <w:lang w:val="en-US"/>
        </w:rPr>
        <w:t>6</w:t>
      </w:r>
      <w:r w:rsidR="006360E3" w:rsidRPr="00D16B79">
        <w:rPr>
          <w:rFonts w:eastAsia="Calibri"/>
          <w:lang w:val="en-US"/>
        </w:rPr>
        <w:t>]. There w</w:t>
      </w:r>
      <w:r w:rsidR="00CA66A2" w:rsidRPr="00D16B79">
        <w:rPr>
          <w:rFonts w:eastAsia="Calibri"/>
          <w:lang w:val="en-US"/>
        </w:rPr>
        <w:t xml:space="preserve">as </w:t>
      </w:r>
      <w:r w:rsidR="006360E3" w:rsidRPr="00D16B79">
        <w:rPr>
          <w:rFonts w:eastAsia="Calibri"/>
          <w:lang w:val="en-US"/>
        </w:rPr>
        <w:t>no significant indirect effect of impact, B = -.09, SE = .08, 95% CI [-.2</w:t>
      </w:r>
      <w:r w:rsidR="004908AF" w:rsidRPr="00D16B79">
        <w:rPr>
          <w:rFonts w:eastAsia="Calibri"/>
          <w:lang w:val="en-US"/>
        </w:rPr>
        <w:t>8</w:t>
      </w:r>
      <w:r w:rsidR="006360E3" w:rsidRPr="00D16B79">
        <w:rPr>
          <w:rFonts w:eastAsia="Calibri"/>
          <w:lang w:val="en-US"/>
        </w:rPr>
        <w:t>, .02], sympathy, B = .001, SE = .19, 95% CI [-.36, .38]</w:t>
      </w:r>
      <w:r w:rsidR="00986722" w:rsidRPr="00D16B79">
        <w:rPr>
          <w:rFonts w:eastAsia="Calibri"/>
          <w:lang w:val="en-US"/>
        </w:rPr>
        <w:t>,</w:t>
      </w:r>
      <w:r w:rsidR="006360E3" w:rsidRPr="00D16B79">
        <w:rPr>
          <w:rFonts w:eastAsia="Calibri"/>
          <w:lang w:val="en-US"/>
        </w:rPr>
        <w:t xml:space="preserve"> or satisfaction, B = .07, SE = .07, 95% CI [-.08, .2</w:t>
      </w:r>
      <w:r w:rsidR="004908AF" w:rsidRPr="00D16B79">
        <w:rPr>
          <w:rFonts w:eastAsia="Calibri"/>
          <w:lang w:val="en-US"/>
        </w:rPr>
        <w:t>1</w:t>
      </w:r>
      <w:r w:rsidR="006360E3" w:rsidRPr="00D16B79">
        <w:rPr>
          <w:rFonts w:eastAsia="Calibri"/>
          <w:lang w:val="en-US"/>
        </w:rPr>
        <w:t>]</w:t>
      </w:r>
      <w:r w:rsidR="00986722" w:rsidRPr="00D16B79">
        <w:rPr>
          <w:rFonts w:eastAsia="Calibri"/>
          <w:lang w:val="en-US"/>
        </w:rPr>
        <w:t>,</w:t>
      </w:r>
      <w:r w:rsidR="006360E3" w:rsidRPr="00D16B79">
        <w:rPr>
          <w:rFonts w:eastAsia="Calibri"/>
          <w:lang w:val="en-US"/>
        </w:rPr>
        <w:t xml:space="preserve"> on helping the student </w:t>
      </w:r>
      <w:r w:rsidR="003C404E" w:rsidRPr="00D16B79">
        <w:rPr>
          <w:rFonts w:eastAsia="Calibri"/>
          <w:lang w:val="en-US"/>
        </w:rPr>
        <w:t>farther</w:t>
      </w:r>
      <w:r w:rsidR="006360E3" w:rsidRPr="00D16B79">
        <w:rPr>
          <w:rFonts w:eastAsia="Calibri"/>
          <w:lang w:val="en-US"/>
        </w:rPr>
        <w:t xml:space="preserve"> from </w:t>
      </w:r>
      <w:r w:rsidR="00986722" w:rsidRPr="00D16B79">
        <w:rPr>
          <w:rFonts w:eastAsia="Calibri"/>
          <w:lang w:val="en-US"/>
        </w:rPr>
        <w:t>her</w:t>
      </w:r>
      <w:r w:rsidR="006360E3" w:rsidRPr="00D16B79">
        <w:rPr>
          <w:rFonts w:eastAsia="Calibri"/>
          <w:lang w:val="en-US"/>
        </w:rPr>
        <w:t xml:space="preserve"> goal</w:t>
      </w:r>
      <w:r w:rsidR="00C25951" w:rsidRPr="00D16B79">
        <w:rPr>
          <w:rFonts w:eastAsia="Calibri"/>
          <w:lang w:val="en-US"/>
        </w:rPr>
        <w:t xml:space="preserve"> (see Web Appendix for further details)</w:t>
      </w:r>
      <w:r w:rsidR="006360E3" w:rsidRPr="00D16B79">
        <w:rPr>
          <w:rFonts w:eastAsia="Calibri"/>
          <w:lang w:val="en-US"/>
        </w:rPr>
        <w:t>.</w:t>
      </w:r>
      <w:r w:rsidR="00F3754B" w:rsidRPr="00D16B79">
        <w:rPr>
          <w:rFonts w:eastAsia="Calibri"/>
          <w:lang w:val="en-US"/>
        </w:rPr>
        <w:t xml:space="preserve"> </w:t>
      </w:r>
    </w:p>
    <w:p w14:paraId="6BBA6D44" w14:textId="194C06BD" w:rsidR="00017CE2" w:rsidRPr="00D16B79" w:rsidRDefault="00487089" w:rsidP="001F2D46">
      <w:pPr>
        <w:spacing w:line="480" w:lineRule="auto"/>
        <w:ind w:firstLine="720"/>
        <w:rPr>
          <w:rFonts w:eastAsia="Calibri"/>
          <w:lang w:val="en-US"/>
        </w:rPr>
      </w:pPr>
      <w:r w:rsidRPr="00D16B79">
        <w:rPr>
          <w:rFonts w:eastAsia="Calibri"/>
          <w:lang w:val="en-US"/>
        </w:rPr>
        <w:t>On the other hand</w:t>
      </w:r>
      <w:r w:rsidR="00FD3A99" w:rsidRPr="00D16B79">
        <w:rPr>
          <w:rFonts w:eastAsia="Calibri"/>
          <w:lang w:val="en-US"/>
        </w:rPr>
        <w:t xml:space="preserve">, using PROCESS model 4 in separate evaluation, we found that need </w:t>
      </w:r>
      <w:r w:rsidR="004C2E2B">
        <w:rPr>
          <w:rFonts w:eastAsia="Calibri"/>
          <w:lang w:val="en-US"/>
        </w:rPr>
        <w:t xml:space="preserve">for help </w:t>
      </w:r>
      <w:r w:rsidR="00FD3A99" w:rsidRPr="00D16B79">
        <w:rPr>
          <w:rFonts w:eastAsia="Calibri"/>
          <w:lang w:val="en-US"/>
        </w:rPr>
        <w:t>was not a significant mediator, B = .0</w:t>
      </w:r>
      <w:r w:rsidR="00A713F7" w:rsidRPr="00D16B79">
        <w:rPr>
          <w:rFonts w:eastAsia="Calibri"/>
          <w:lang w:val="en-US"/>
        </w:rPr>
        <w:t>7</w:t>
      </w:r>
      <w:r w:rsidR="00FD3A99" w:rsidRPr="00D16B79">
        <w:rPr>
          <w:rFonts w:eastAsia="Calibri"/>
          <w:lang w:val="en-US"/>
        </w:rPr>
        <w:t>, SE = .</w:t>
      </w:r>
      <w:r w:rsidR="00A713F7" w:rsidRPr="00D16B79">
        <w:rPr>
          <w:rFonts w:eastAsia="Calibri"/>
          <w:lang w:val="en-US"/>
        </w:rPr>
        <w:t>14</w:t>
      </w:r>
      <w:r w:rsidR="00FD3A99" w:rsidRPr="00D16B79">
        <w:rPr>
          <w:rFonts w:eastAsia="Calibri"/>
          <w:lang w:val="en-US"/>
        </w:rPr>
        <w:t>, 95% CI [-.</w:t>
      </w:r>
      <w:r w:rsidR="00A713F7" w:rsidRPr="00D16B79">
        <w:rPr>
          <w:rFonts w:eastAsia="Calibri"/>
          <w:lang w:val="en-US"/>
        </w:rPr>
        <w:t>1</w:t>
      </w:r>
      <w:r w:rsidR="004908AF" w:rsidRPr="00D16B79">
        <w:rPr>
          <w:rFonts w:eastAsia="Calibri"/>
          <w:lang w:val="en-US"/>
        </w:rPr>
        <w:t>9</w:t>
      </w:r>
      <w:r w:rsidR="00FD3A99" w:rsidRPr="00D16B79">
        <w:rPr>
          <w:rFonts w:eastAsia="Calibri"/>
          <w:lang w:val="en-US"/>
        </w:rPr>
        <w:t>, .</w:t>
      </w:r>
      <w:r w:rsidR="00A713F7" w:rsidRPr="00D16B79">
        <w:rPr>
          <w:rFonts w:eastAsia="Calibri"/>
          <w:lang w:val="en-US"/>
        </w:rPr>
        <w:t>3</w:t>
      </w:r>
      <w:r w:rsidR="004908AF" w:rsidRPr="00D16B79">
        <w:rPr>
          <w:rFonts w:eastAsia="Calibri"/>
          <w:lang w:val="en-US"/>
        </w:rPr>
        <w:t>7</w:t>
      </w:r>
      <w:r w:rsidR="00FD3A99" w:rsidRPr="00D16B79">
        <w:rPr>
          <w:rFonts w:eastAsia="Calibri"/>
          <w:lang w:val="en-US"/>
        </w:rPr>
        <w:t>]</w:t>
      </w:r>
      <w:r w:rsidR="00A713F7" w:rsidRPr="00D16B79">
        <w:rPr>
          <w:rFonts w:eastAsia="Calibri"/>
          <w:lang w:val="en-US"/>
        </w:rPr>
        <w:t>. Like previous research</w:t>
      </w:r>
      <w:r w:rsidR="005647FC" w:rsidRPr="00D16B79">
        <w:rPr>
          <w:rFonts w:eastAsia="Calibri"/>
          <w:lang w:val="en-US"/>
        </w:rPr>
        <w:t xml:space="preserve"> (</w:t>
      </w:r>
      <w:r w:rsidR="005647FC" w:rsidRPr="00D16B79">
        <w:rPr>
          <w:lang w:val="en-US"/>
        </w:rPr>
        <w:t>Cryder, Loewenstein, and Seltman 2013)</w:t>
      </w:r>
      <w:r w:rsidR="00A713F7" w:rsidRPr="00D16B79">
        <w:rPr>
          <w:rFonts w:eastAsia="Calibri"/>
          <w:lang w:val="en-US"/>
        </w:rPr>
        <w:t>, a parallel mediation model revealed that only satisfaction was a significant mediator</w:t>
      </w:r>
      <w:r w:rsidR="00BD40B1">
        <w:rPr>
          <w:rFonts w:eastAsia="Calibri"/>
          <w:lang w:val="en-US"/>
        </w:rPr>
        <w:t>, with greater satisfaction and donations when the organization was closer to its goal</w:t>
      </w:r>
      <w:r w:rsidR="00A713F7" w:rsidRPr="00D16B79">
        <w:rPr>
          <w:rFonts w:eastAsia="Calibri"/>
          <w:lang w:val="en-US"/>
        </w:rPr>
        <w:t>, B = .15, SE = .09, 95% CI [.00</w:t>
      </w:r>
      <w:r w:rsidR="00C25951" w:rsidRPr="00D16B79">
        <w:rPr>
          <w:rFonts w:eastAsia="Calibri"/>
          <w:lang w:val="en-US"/>
        </w:rPr>
        <w:t>1</w:t>
      </w:r>
      <w:r w:rsidR="00A713F7" w:rsidRPr="00D16B79">
        <w:rPr>
          <w:rFonts w:eastAsia="Calibri"/>
          <w:lang w:val="en-US"/>
        </w:rPr>
        <w:t>, .36], and neither need</w:t>
      </w:r>
      <w:r w:rsidR="004C2E2B">
        <w:rPr>
          <w:rFonts w:eastAsia="Calibri"/>
          <w:lang w:val="en-US"/>
        </w:rPr>
        <w:t xml:space="preserve"> for help</w:t>
      </w:r>
      <w:r w:rsidR="00A713F7" w:rsidRPr="00D16B79">
        <w:rPr>
          <w:rFonts w:eastAsia="Calibri"/>
          <w:lang w:val="en-US"/>
        </w:rPr>
        <w:t>, B = .04, SE = .09, 95% CI [-.1</w:t>
      </w:r>
      <w:r w:rsidR="004908AF" w:rsidRPr="00D16B79">
        <w:rPr>
          <w:rFonts w:eastAsia="Calibri"/>
          <w:lang w:val="en-US"/>
        </w:rPr>
        <w:t>1</w:t>
      </w:r>
      <w:r w:rsidR="00A713F7" w:rsidRPr="00D16B79">
        <w:rPr>
          <w:rFonts w:eastAsia="Calibri"/>
          <w:lang w:val="en-US"/>
        </w:rPr>
        <w:t xml:space="preserve">, .22], </w:t>
      </w:r>
      <w:r w:rsidR="00FD3A99" w:rsidRPr="00D16B79">
        <w:rPr>
          <w:rFonts w:eastAsia="Calibri"/>
          <w:lang w:val="en-US"/>
        </w:rPr>
        <w:t>impact</w:t>
      </w:r>
      <w:r w:rsidR="00A713F7" w:rsidRPr="00D16B79">
        <w:rPr>
          <w:rFonts w:eastAsia="Calibri"/>
          <w:lang w:val="en-US"/>
        </w:rPr>
        <w:t>, B = .08, SE = .08, 95% CI [-.0</w:t>
      </w:r>
      <w:r w:rsidR="004908AF" w:rsidRPr="00D16B79">
        <w:rPr>
          <w:rFonts w:eastAsia="Calibri"/>
          <w:lang w:val="en-US"/>
        </w:rPr>
        <w:t>5</w:t>
      </w:r>
      <w:r w:rsidR="00A713F7" w:rsidRPr="00D16B79">
        <w:rPr>
          <w:rFonts w:eastAsia="Calibri"/>
          <w:lang w:val="en-US"/>
        </w:rPr>
        <w:t>, .23]</w:t>
      </w:r>
      <w:r w:rsidR="00FD3A99" w:rsidRPr="00D16B79">
        <w:rPr>
          <w:rFonts w:eastAsia="Calibri"/>
          <w:lang w:val="en-US"/>
        </w:rPr>
        <w:t xml:space="preserve">, </w:t>
      </w:r>
      <w:r w:rsidR="00A713F7" w:rsidRPr="00D16B79">
        <w:rPr>
          <w:rFonts w:eastAsia="Calibri"/>
          <w:lang w:val="en-US"/>
        </w:rPr>
        <w:t xml:space="preserve">nor </w:t>
      </w:r>
      <w:r w:rsidR="00FD3A99" w:rsidRPr="00D16B79">
        <w:rPr>
          <w:rFonts w:eastAsia="Calibri"/>
          <w:lang w:val="en-US"/>
        </w:rPr>
        <w:t>sympathy</w:t>
      </w:r>
      <w:r w:rsidR="00A713F7" w:rsidRPr="00D16B79">
        <w:rPr>
          <w:rFonts w:eastAsia="Calibri"/>
          <w:lang w:val="en-US"/>
        </w:rPr>
        <w:t>, B = -.03, SE = .04, 95% CI [-.12, .0</w:t>
      </w:r>
      <w:r w:rsidR="004908AF" w:rsidRPr="00D16B79">
        <w:rPr>
          <w:rFonts w:eastAsia="Calibri"/>
          <w:lang w:val="en-US"/>
        </w:rPr>
        <w:t>4</w:t>
      </w:r>
      <w:r w:rsidR="00A713F7" w:rsidRPr="00D16B79">
        <w:rPr>
          <w:rFonts w:eastAsia="Calibri"/>
          <w:lang w:val="en-US"/>
        </w:rPr>
        <w:t>]</w:t>
      </w:r>
      <w:r w:rsidR="00603000" w:rsidRPr="00D16B79">
        <w:rPr>
          <w:rFonts w:eastAsia="Calibri"/>
          <w:lang w:val="en-US"/>
        </w:rPr>
        <w:t>,</w:t>
      </w:r>
      <w:r w:rsidR="00FD3A99" w:rsidRPr="00D16B79">
        <w:rPr>
          <w:rFonts w:eastAsia="Calibri"/>
          <w:lang w:val="en-US"/>
        </w:rPr>
        <w:t xml:space="preserve"> </w:t>
      </w:r>
      <w:r w:rsidR="00A713F7" w:rsidRPr="00D16B79">
        <w:rPr>
          <w:rFonts w:eastAsia="Calibri"/>
          <w:lang w:val="en-US"/>
        </w:rPr>
        <w:t>were significant mediators.</w:t>
      </w:r>
      <w:r w:rsidR="002354D8" w:rsidRPr="00D16B79">
        <w:rPr>
          <w:rFonts w:ascii="Times New Roman" w:eastAsia="Calibri" w:hAnsi="Times New Roman" w:cs="Calibri"/>
          <w:lang w:val="en-US" w:eastAsia="en-US"/>
        </w:rPr>
        <w:t xml:space="preserve"> This indicates that joint evaluation made the need for help of the student farther from her goal </w:t>
      </w:r>
      <w:r w:rsidR="00DD7642">
        <w:rPr>
          <w:rFonts w:ascii="Times New Roman" w:eastAsia="Calibri" w:hAnsi="Times New Roman" w:cs="Calibri"/>
          <w:lang w:val="en-US" w:eastAsia="en-US"/>
        </w:rPr>
        <w:t>easier to evaluate</w:t>
      </w:r>
      <w:r w:rsidR="002354D8" w:rsidRPr="00D16B79">
        <w:rPr>
          <w:rFonts w:ascii="Times New Roman" w:eastAsia="Calibri" w:hAnsi="Times New Roman" w:cs="Calibri"/>
          <w:lang w:val="en-US" w:eastAsia="en-US"/>
        </w:rPr>
        <w:t>, which increased donations to this student, but this was not the case in separate evaluation.</w:t>
      </w:r>
    </w:p>
    <w:bookmarkEnd w:id="16"/>
    <w:p w14:paraId="4618CCD4" w14:textId="7E5E38B9" w:rsidR="00E305F1" w:rsidRPr="00D16B79" w:rsidRDefault="00E305F1" w:rsidP="00F55739">
      <w:pPr>
        <w:pStyle w:val="Heading2"/>
      </w:pPr>
      <w:r w:rsidRPr="00D16B79">
        <w:t>Discussion</w:t>
      </w:r>
    </w:p>
    <w:p w14:paraId="6E99E330" w14:textId="186F2251" w:rsidR="000C2C21" w:rsidRDefault="00E305F1" w:rsidP="00F030EA">
      <w:pPr>
        <w:spacing w:line="480" w:lineRule="auto"/>
        <w:rPr>
          <w:lang w:val="en-US"/>
        </w:rPr>
      </w:pPr>
      <w:r w:rsidRPr="00D16B79">
        <w:rPr>
          <w:lang w:val="en-US"/>
        </w:rPr>
        <w:tab/>
      </w:r>
      <w:r w:rsidR="00C92A02" w:rsidRPr="00D16B79">
        <w:rPr>
          <w:lang w:val="en-US"/>
        </w:rPr>
        <w:t>Study</w:t>
      </w:r>
      <w:r w:rsidR="008C01F3" w:rsidRPr="00D16B79">
        <w:rPr>
          <w:lang w:val="en-US"/>
        </w:rPr>
        <w:t xml:space="preserve"> </w:t>
      </w:r>
      <w:r w:rsidR="00E455BA" w:rsidRPr="00D16B79">
        <w:rPr>
          <w:lang w:val="en-US"/>
        </w:rPr>
        <w:t>2</w:t>
      </w:r>
      <w:r w:rsidR="00D06461" w:rsidRPr="00D16B79">
        <w:rPr>
          <w:lang w:val="en-US"/>
        </w:rPr>
        <w:t xml:space="preserve"> extends the generalizability of </w:t>
      </w:r>
      <w:r w:rsidR="00487089" w:rsidRPr="00D16B79">
        <w:rPr>
          <w:lang w:val="en-US"/>
        </w:rPr>
        <w:t xml:space="preserve">the findings from </w:t>
      </w:r>
      <w:r w:rsidR="00D06461" w:rsidRPr="00D16B79">
        <w:rPr>
          <w:lang w:val="en-US"/>
        </w:rPr>
        <w:t>charitable organizations</w:t>
      </w:r>
      <w:r w:rsidR="00487089" w:rsidRPr="00D16B79">
        <w:rPr>
          <w:lang w:val="en-US"/>
        </w:rPr>
        <w:t xml:space="preserve"> in Study 1</w:t>
      </w:r>
      <w:r w:rsidR="00D06461" w:rsidRPr="00D16B79">
        <w:rPr>
          <w:lang w:val="en-US"/>
        </w:rPr>
        <w:t xml:space="preserve"> to individuals who are fundraising for a charitable cause. </w:t>
      </w:r>
      <w:r w:rsidR="00196373">
        <w:rPr>
          <w:lang w:val="en-US"/>
        </w:rPr>
        <w:t>W</w:t>
      </w:r>
      <w:r w:rsidR="00196373" w:rsidRPr="00D16B79">
        <w:rPr>
          <w:lang w:val="en-US"/>
        </w:rPr>
        <w:t xml:space="preserve">e also test different dependent variables including a separate measure of donation likelihood for each charity and a </w:t>
      </w:r>
      <w:r w:rsidR="00196373" w:rsidRPr="00D16B79">
        <w:rPr>
          <w:lang w:val="en-US"/>
        </w:rPr>
        <w:lastRenderedPageBreak/>
        <w:t xml:space="preserve">decision regarding whether to buy a candy bar to support the fundraiser or to keep the money for oneself. </w:t>
      </w:r>
      <w:r w:rsidR="00196373" w:rsidRPr="00D16B79">
        <w:rPr>
          <w:rFonts w:ascii="Times New Roman" w:eastAsia="Calibri" w:hAnsi="Times New Roman"/>
          <w:lang w:val="en-US" w:eastAsia="en-US"/>
        </w:rPr>
        <w:t>This</w:t>
      </w:r>
      <w:r w:rsidR="00196373">
        <w:rPr>
          <w:rFonts w:ascii="Times New Roman" w:eastAsia="Calibri" w:hAnsi="Times New Roman"/>
          <w:lang w:val="en-US" w:eastAsia="en-US"/>
        </w:rPr>
        <w:t xml:space="preserve"> latter</w:t>
      </w:r>
      <w:r w:rsidR="00196373" w:rsidRPr="00D16B79">
        <w:rPr>
          <w:rFonts w:ascii="Times New Roman" w:eastAsia="Calibri" w:hAnsi="Times New Roman"/>
          <w:lang w:val="en-US" w:eastAsia="en-US"/>
        </w:rPr>
        <w:t xml:space="preserve"> measure helps us understand how people choose to distribute money when they have the option to keep some for themselves</w:t>
      </w:r>
      <w:r w:rsidR="00196373">
        <w:rPr>
          <w:rFonts w:ascii="Times New Roman" w:eastAsia="Calibri" w:hAnsi="Times New Roman"/>
          <w:lang w:val="en-US" w:eastAsia="en-US"/>
        </w:rPr>
        <w:t>.</w:t>
      </w:r>
      <w:r w:rsidR="00196373" w:rsidRPr="00D16B79">
        <w:rPr>
          <w:lang w:val="en-US"/>
        </w:rPr>
        <w:t xml:space="preserve"> </w:t>
      </w:r>
      <w:r w:rsidR="00E87F97">
        <w:rPr>
          <w:lang w:val="en-US"/>
        </w:rPr>
        <w:t>We also</w:t>
      </w:r>
      <w:r w:rsidR="00A65ED7" w:rsidRPr="00D16B79">
        <w:rPr>
          <w:lang w:val="en-US"/>
        </w:rPr>
        <w:t xml:space="preserve"> </w:t>
      </w:r>
      <w:r w:rsidR="008B23BD" w:rsidRPr="00D16B79">
        <w:rPr>
          <w:lang w:val="en-US"/>
        </w:rPr>
        <w:t>replicate the goal gradient effect in separate evaluation</w:t>
      </w:r>
      <w:r w:rsidR="00487089" w:rsidRPr="00D16B79">
        <w:rPr>
          <w:lang w:val="en-US"/>
        </w:rPr>
        <w:t>,</w:t>
      </w:r>
      <w:r w:rsidR="00A65ED7" w:rsidRPr="00D16B79">
        <w:rPr>
          <w:lang w:val="en-US"/>
        </w:rPr>
        <w:t xml:space="preserve"> but show</w:t>
      </w:r>
      <w:r w:rsidR="008B23BD" w:rsidRPr="00D16B79">
        <w:rPr>
          <w:lang w:val="en-US"/>
        </w:rPr>
        <w:t xml:space="preserve"> </w:t>
      </w:r>
      <w:r w:rsidR="00A65ED7" w:rsidRPr="00D16B79">
        <w:rPr>
          <w:lang w:val="en-US"/>
        </w:rPr>
        <w:t>the closing</w:t>
      </w:r>
      <w:r w:rsidR="00CB27CB" w:rsidRPr="00D16B79">
        <w:rPr>
          <w:lang w:val="en-US"/>
        </w:rPr>
        <w:t>-</w:t>
      </w:r>
      <w:r w:rsidR="00A65ED7" w:rsidRPr="00D16B79">
        <w:rPr>
          <w:lang w:val="en-US"/>
        </w:rPr>
        <w:t>the</w:t>
      </w:r>
      <w:r w:rsidR="00CB27CB" w:rsidRPr="00D16B79">
        <w:rPr>
          <w:lang w:val="en-US"/>
        </w:rPr>
        <w:t>-</w:t>
      </w:r>
      <w:r w:rsidR="00A65ED7" w:rsidRPr="00D16B79">
        <w:rPr>
          <w:lang w:val="en-US"/>
        </w:rPr>
        <w:t>gap</w:t>
      </w:r>
      <w:r w:rsidR="008B23BD" w:rsidRPr="00D16B79">
        <w:rPr>
          <w:lang w:val="en-US"/>
        </w:rPr>
        <w:t xml:space="preserve"> effect in joint evaluation.</w:t>
      </w:r>
      <w:r w:rsidR="00E455BA" w:rsidRPr="00D16B79">
        <w:rPr>
          <w:lang w:val="en-US"/>
        </w:rPr>
        <w:t xml:space="preserve"> </w:t>
      </w:r>
      <w:r w:rsidR="008B23BD" w:rsidRPr="00D16B79">
        <w:rPr>
          <w:lang w:val="en-US"/>
        </w:rPr>
        <w:t xml:space="preserve">Further, this study looks at the potential mediating role of several other variables </w:t>
      </w:r>
      <w:r w:rsidR="00BE020C" w:rsidRPr="00D16B79">
        <w:rPr>
          <w:lang w:val="en-US"/>
        </w:rPr>
        <w:t xml:space="preserve">examined </w:t>
      </w:r>
      <w:r w:rsidR="008B23BD" w:rsidRPr="00D16B79">
        <w:rPr>
          <w:lang w:val="en-US"/>
        </w:rPr>
        <w:t>in previous work and finds that</w:t>
      </w:r>
      <w:r w:rsidR="00DD7642">
        <w:rPr>
          <w:lang w:val="en-US"/>
        </w:rPr>
        <w:t xml:space="preserve"> perceptions of greater</w:t>
      </w:r>
      <w:r w:rsidR="008B23BD" w:rsidRPr="00D16B79">
        <w:rPr>
          <w:lang w:val="en-US"/>
        </w:rPr>
        <w:t xml:space="preserve"> </w:t>
      </w:r>
      <w:r w:rsidR="008B23BD" w:rsidRPr="00CA728A">
        <w:rPr>
          <w:lang w:val="en-US"/>
        </w:rPr>
        <w:t xml:space="preserve">need </w:t>
      </w:r>
      <w:r w:rsidR="002354D8" w:rsidRPr="00CA728A">
        <w:rPr>
          <w:lang w:val="en-US"/>
        </w:rPr>
        <w:t>for help</w:t>
      </w:r>
      <w:r w:rsidR="00DD7642">
        <w:rPr>
          <w:lang w:val="en-US"/>
        </w:rPr>
        <w:t xml:space="preserve"> for a charity</w:t>
      </w:r>
      <w:r w:rsidR="002354D8" w:rsidRPr="00D16B79">
        <w:rPr>
          <w:lang w:val="en-US"/>
        </w:rPr>
        <w:t xml:space="preserve"> </w:t>
      </w:r>
      <w:r w:rsidR="00CA728A">
        <w:rPr>
          <w:lang w:val="en-US"/>
        </w:rPr>
        <w:t>leads to a need for progress in the donor that drives charitable giving</w:t>
      </w:r>
      <w:r w:rsidR="00141678" w:rsidRPr="00D16B79">
        <w:rPr>
          <w:lang w:val="en-US"/>
        </w:rPr>
        <w:t>.</w:t>
      </w:r>
      <w:r w:rsidR="00F069CB" w:rsidRPr="00D16B79">
        <w:rPr>
          <w:lang w:val="en-US"/>
        </w:rPr>
        <w:t xml:space="preserve"> We replicate Study 2 in </w:t>
      </w:r>
      <w:r w:rsidR="00E628D4" w:rsidRPr="00D16B79">
        <w:rPr>
          <w:lang w:val="en-US"/>
        </w:rPr>
        <w:t xml:space="preserve">Supplemental Study S2 </w:t>
      </w:r>
      <w:r w:rsidR="00F069CB" w:rsidRPr="00D16B79">
        <w:rPr>
          <w:lang w:val="en-US"/>
        </w:rPr>
        <w:t>with similar results (see Web Appendix C).</w:t>
      </w:r>
    </w:p>
    <w:p w14:paraId="0EAE48DC" w14:textId="77777777" w:rsidR="009004C1" w:rsidRPr="00D16B79" w:rsidRDefault="009004C1" w:rsidP="00F030EA">
      <w:pPr>
        <w:spacing w:line="480" w:lineRule="auto"/>
        <w:rPr>
          <w:lang w:val="en-US"/>
        </w:rPr>
      </w:pPr>
    </w:p>
    <w:p w14:paraId="6D1DC689" w14:textId="3703D2EA" w:rsidR="00C21AB1" w:rsidRPr="00D16B79" w:rsidRDefault="00C21AB1" w:rsidP="00C21AB1">
      <w:pPr>
        <w:pStyle w:val="Heading1"/>
      </w:pPr>
      <w:r w:rsidRPr="00D16B79">
        <w:t>STUDY 3</w:t>
      </w:r>
      <w:r w:rsidR="00F51B7C" w:rsidRPr="00D16B79">
        <w:t xml:space="preserve">: </w:t>
      </w:r>
      <w:r w:rsidR="002014F6" w:rsidRPr="00D16B79">
        <w:t>THREE PROJECTS</w:t>
      </w:r>
      <w:r w:rsidR="00F51B7C" w:rsidRPr="00D16B79">
        <w:t xml:space="preserve"> IN </w:t>
      </w:r>
      <w:r w:rsidR="005A4395" w:rsidRPr="00D16B79">
        <w:t>JOINT VS. SEPARATE EVALUATION</w:t>
      </w:r>
    </w:p>
    <w:p w14:paraId="5A45FB7A" w14:textId="49CD6F35" w:rsidR="00C21AB1" w:rsidRPr="00D16B79" w:rsidRDefault="00C21AB1" w:rsidP="00F030EA">
      <w:pPr>
        <w:spacing w:line="480" w:lineRule="auto"/>
        <w:rPr>
          <w:lang w:val="en-US"/>
        </w:rPr>
      </w:pPr>
    </w:p>
    <w:p w14:paraId="3F96FB8C" w14:textId="54BC7CD8" w:rsidR="00A71CED" w:rsidRPr="00D16B79" w:rsidRDefault="00A71CED" w:rsidP="00FD0663">
      <w:pPr>
        <w:spacing w:line="480" w:lineRule="auto"/>
        <w:ind w:firstLine="720"/>
        <w:rPr>
          <w:lang w:val="en-US"/>
        </w:rPr>
      </w:pPr>
      <w:bookmarkStart w:id="19" w:name="_Hlk134634561"/>
      <w:r w:rsidRPr="00D16B79">
        <w:rPr>
          <w:lang w:val="en-US"/>
        </w:rPr>
        <w:t xml:space="preserve">The previous studies looked at preference shifts in donations when two projects were presented together versus separately. In </w:t>
      </w:r>
      <w:r w:rsidR="007F0E29" w:rsidRPr="00D16B79">
        <w:rPr>
          <w:lang w:val="en-US"/>
        </w:rPr>
        <w:t>S</w:t>
      </w:r>
      <w:r w:rsidRPr="00D16B79">
        <w:rPr>
          <w:lang w:val="en-US"/>
        </w:rPr>
        <w:t xml:space="preserve">tudy </w:t>
      </w:r>
      <w:r w:rsidR="007F0E29" w:rsidRPr="00D16B79">
        <w:rPr>
          <w:lang w:val="en-US"/>
        </w:rPr>
        <w:t>3</w:t>
      </w:r>
      <w:r w:rsidR="00A20B9D" w:rsidRPr="00D16B79">
        <w:rPr>
          <w:lang w:val="en-US"/>
        </w:rPr>
        <w:t>,</w:t>
      </w:r>
      <w:r w:rsidR="007F0E29" w:rsidRPr="00D16B79">
        <w:rPr>
          <w:lang w:val="en-US"/>
        </w:rPr>
        <w:t xml:space="preserve"> </w:t>
      </w:r>
      <w:r w:rsidRPr="00D16B79">
        <w:rPr>
          <w:lang w:val="en-US"/>
        </w:rPr>
        <w:t xml:space="preserve">we enhance ecological validity in several ways. First, this study tests </w:t>
      </w:r>
      <w:r w:rsidR="0099076C" w:rsidRPr="00D16B79">
        <w:rPr>
          <w:lang w:val="en-US"/>
        </w:rPr>
        <w:t xml:space="preserve">the robustness of our effect when three projects are </w:t>
      </w:r>
      <w:r w:rsidRPr="00D16B79">
        <w:rPr>
          <w:lang w:val="en-US"/>
        </w:rPr>
        <w:t>evaluated jointly</w:t>
      </w:r>
      <w:r w:rsidR="001C71DA" w:rsidRPr="00D16B79">
        <w:rPr>
          <w:lang w:val="en-US"/>
        </w:rPr>
        <w:t xml:space="preserve"> (rather than the two-charity design used in </w:t>
      </w:r>
      <w:r w:rsidR="00487089" w:rsidRPr="00D16B79">
        <w:rPr>
          <w:lang w:val="en-US"/>
        </w:rPr>
        <w:t>Studies 1 and 2</w:t>
      </w:r>
      <w:r w:rsidR="001C71DA" w:rsidRPr="00D16B79">
        <w:rPr>
          <w:lang w:val="en-US"/>
        </w:rPr>
        <w:t>)</w:t>
      </w:r>
      <w:r w:rsidRPr="00D16B79">
        <w:rPr>
          <w:lang w:val="en-US"/>
        </w:rPr>
        <w:t>. Second, we use real projects</w:t>
      </w:r>
      <w:r w:rsidR="00487089" w:rsidRPr="00D16B79">
        <w:rPr>
          <w:lang w:val="en-US"/>
        </w:rPr>
        <w:t xml:space="preserve"> from the same charity (</w:t>
      </w:r>
      <w:r w:rsidR="0099076C" w:rsidRPr="00D16B79">
        <w:rPr>
          <w:lang w:val="en-US"/>
        </w:rPr>
        <w:t>UNICEF</w:t>
      </w:r>
      <w:r w:rsidR="00487089" w:rsidRPr="00D16B79">
        <w:rPr>
          <w:lang w:val="en-US"/>
        </w:rPr>
        <w:t>)</w:t>
      </w:r>
      <w:r w:rsidRPr="00D16B79">
        <w:rPr>
          <w:lang w:val="en-US"/>
        </w:rPr>
        <w:t xml:space="preserve"> that serve distinct outcomes—i.e., providing water pumps</w:t>
      </w:r>
      <w:r w:rsidR="00487089" w:rsidRPr="00D16B79">
        <w:rPr>
          <w:lang w:val="en-US"/>
        </w:rPr>
        <w:t xml:space="preserve">, </w:t>
      </w:r>
      <w:r w:rsidRPr="00D16B79">
        <w:rPr>
          <w:lang w:val="en-US"/>
        </w:rPr>
        <w:t>providing vaccines</w:t>
      </w:r>
      <w:r w:rsidR="00487089" w:rsidRPr="00D16B79">
        <w:rPr>
          <w:lang w:val="en-US"/>
        </w:rPr>
        <w:t xml:space="preserve">, and </w:t>
      </w:r>
      <w:r w:rsidR="001A5379" w:rsidRPr="00D16B79">
        <w:rPr>
          <w:lang w:val="en-US"/>
        </w:rPr>
        <w:t>stocking a nutrition center</w:t>
      </w:r>
      <w:r w:rsidRPr="00D16B79">
        <w:rPr>
          <w:lang w:val="en-US"/>
        </w:rPr>
        <w:t>.</w:t>
      </w:r>
      <w:r w:rsidR="00487089" w:rsidRPr="00D16B79">
        <w:rPr>
          <w:lang w:val="en-US"/>
        </w:rPr>
        <w:t xml:space="preserve"> This allows us to generalize our effect to </w:t>
      </w:r>
      <w:r w:rsidR="00FE0BA7" w:rsidRPr="00D16B79">
        <w:rPr>
          <w:lang w:val="en-US"/>
        </w:rPr>
        <w:t xml:space="preserve">a single charity promoting several projects. </w:t>
      </w:r>
      <w:r w:rsidR="0099076C" w:rsidRPr="00D16B79">
        <w:rPr>
          <w:lang w:val="en-US"/>
        </w:rPr>
        <w:t>Third</w:t>
      </w:r>
      <w:r w:rsidRPr="00D16B79">
        <w:rPr>
          <w:lang w:val="en-US"/>
        </w:rPr>
        <w:t xml:space="preserve">, we provide </w:t>
      </w:r>
      <w:r w:rsidR="001C71DA" w:rsidRPr="00D16B79">
        <w:rPr>
          <w:lang w:val="en-US"/>
        </w:rPr>
        <w:t xml:space="preserve">every </w:t>
      </w:r>
      <w:r w:rsidRPr="00D16B79">
        <w:rPr>
          <w:lang w:val="en-US"/>
        </w:rPr>
        <w:t xml:space="preserve">participant with a bonus amount for </w:t>
      </w:r>
      <w:r w:rsidR="00C122DC" w:rsidRPr="00D16B79">
        <w:rPr>
          <w:lang w:val="en-US"/>
        </w:rPr>
        <w:t xml:space="preserve">taking part </w:t>
      </w:r>
      <w:r w:rsidRPr="00D16B79">
        <w:rPr>
          <w:lang w:val="en-US"/>
        </w:rPr>
        <w:t xml:space="preserve">in the study that they can either donate to one of the </w:t>
      </w:r>
      <w:r w:rsidR="0018527D" w:rsidRPr="00D16B79">
        <w:rPr>
          <w:lang w:val="en-US"/>
        </w:rPr>
        <w:t xml:space="preserve">projects </w:t>
      </w:r>
      <w:r w:rsidRPr="00D16B79">
        <w:rPr>
          <w:lang w:val="en-US"/>
        </w:rPr>
        <w:t>or keep for themselves</w:t>
      </w:r>
      <w:r w:rsidR="001443D7">
        <w:rPr>
          <w:lang w:val="en-US"/>
        </w:rPr>
        <w:t xml:space="preserve">, </w:t>
      </w:r>
      <w:proofErr w:type="spellStart"/>
      <w:r w:rsidR="001443D7">
        <w:rPr>
          <w:lang w:val="en-US"/>
        </w:rPr>
        <w:t>amking</w:t>
      </w:r>
      <w:proofErr w:type="spellEnd"/>
      <w:r w:rsidR="001443D7">
        <w:rPr>
          <w:lang w:val="en-US"/>
        </w:rPr>
        <w:t xml:space="preserve"> this</w:t>
      </w:r>
      <w:r w:rsidRPr="00D16B79">
        <w:rPr>
          <w:lang w:val="en-US"/>
        </w:rPr>
        <w:t>. Thus, this is a consequential, incentive</w:t>
      </w:r>
      <w:r w:rsidR="000305CD" w:rsidRPr="00D16B79">
        <w:rPr>
          <w:lang w:val="en-US"/>
        </w:rPr>
        <w:t>-</w:t>
      </w:r>
      <w:r w:rsidRPr="00D16B79">
        <w:rPr>
          <w:lang w:val="en-US"/>
        </w:rPr>
        <w:t xml:space="preserve">compatible decision for every participant. </w:t>
      </w:r>
      <w:r w:rsidR="00B27C4F" w:rsidRPr="00D16B79">
        <w:rPr>
          <w:lang w:val="en-US"/>
        </w:rPr>
        <w:t>Fourth</w:t>
      </w:r>
      <w:r w:rsidR="0099076C" w:rsidRPr="00D16B79">
        <w:rPr>
          <w:lang w:val="en-US"/>
        </w:rPr>
        <w:t xml:space="preserve">, this study tests </w:t>
      </w:r>
      <w:r w:rsidR="00701F54">
        <w:rPr>
          <w:lang w:val="en-US"/>
        </w:rPr>
        <w:t>our prediction that</w:t>
      </w:r>
      <w:r w:rsidR="0099076C" w:rsidRPr="00D16B79">
        <w:rPr>
          <w:lang w:val="en-US"/>
        </w:rPr>
        <w:t xml:space="preserve"> joint presentation makes it easier to evaluate need </w:t>
      </w:r>
      <w:r w:rsidR="00B27C4F" w:rsidRPr="00D16B79">
        <w:rPr>
          <w:lang w:val="en-US"/>
        </w:rPr>
        <w:t>for help</w:t>
      </w:r>
      <w:r w:rsidR="00AA0090">
        <w:rPr>
          <w:lang w:val="en-US"/>
        </w:rPr>
        <w:t>,</w:t>
      </w:r>
      <w:r w:rsidR="00B27C4F" w:rsidRPr="00D16B79">
        <w:rPr>
          <w:lang w:val="en-US"/>
        </w:rPr>
        <w:t xml:space="preserve"> </w:t>
      </w:r>
      <w:r w:rsidR="0099076C" w:rsidRPr="00D16B79">
        <w:rPr>
          <w:lang w:val="en-US"/>
        </w:rPr>
        <w:t>as well as increase</w:t>
      </w:r>
      <w:r w:rsidR="005A7DB4">
        <w:rPr>
          <w:lang w:val="en-US"/>
        </w:rPr>
        <w:t>s</w:t>
      </w:r>
      <w:r w:rsidR="0099076C" w:rsidRPr="00D16B79">
        <w:rPr>
          <w:lang w:val="en-US"/>
        </w:rPr>
        <w:t xml:space="preserve"> the gap in perceptions of need between charity projects. </w:t>
      </w:r>
      <w:r w:rsidR="0073346A" w:rsidRPr="00D16B79">
        <w:rPr>
          <w:lang w:val="en-US"/>
        </w:rPr>
        <w:t>We also measure</w:t>
      </w:r>
      <w:r w:rsidR="004E6C00" w:rsidRPr="00D16B79">
        <w:rPr>
          <w:lang w:val="en-US"/>
        </w:rPr>
        <w:t xml:space="preserve"> an alternative explanation; </w:t>
      </w:r>
      <w:r w:rsidR="00D6238A" w:rsidRPr="00D16B79">
        <w:rPr>
          <w:lang w:val="en-US"/>
        </w:rPr>
        <w:t>whether evaluation mode affects</w:t>
      </w:r>
      <w:r w:rsidR="0073346A" w:rsidRPr="00D16B79">
        <w:rPr>
          <w:lang w:val="en-US"/>
        </w:rPr>
        <w:t xml:space="preserve"> how justifiable need is, i.e., </w:t>
      </w:r>
      <w:r w:rsidR="0073346A" w:rsidRPr="00D16B79">
        <w:rPr>
          <w:lang w:val="en-US"/>
        </w:rPr>
        <w:lastRenderedPageBreak/>
        <w:t>the extent to which participants believe they should consider need in donation decisions</w:t>
      </w:r>
      <w:r w:rsidR="00C122DC" w:rsidRPr="00D16B79">
        <w:rPr>
          <w:lang w:val="en-US"/>
        </w:rPr>
        <w:t xml:space="preserve"> (Li and Hsee 2013)</w:t>
      </w:r>
      <w:r w:rsidR="009B5A43" w:rsidRPr="00D16B79">
        <w:rPr>
          <w:lang w:val="en-US"/>
        </w:rPr>
        <w:t xml:space="preserve">. </w:t>
      </w:r>
      <w:r w:rsidR="00620387">
        <w:rPr>
          <w:lang w:val="en-US"/>
        </w:rPr>
        <w:t xml:space="preserve">If participants believe that the charity’s need should only be considered in joint evaluation, and believe their decision should be based on other factors in </w:t>
      </w:r>
      <w:r w:rsidR="00C122DC" w:rsidRPr="00D16B79">
        <w:rPr>
          <w:lang w:val="en-US"/>
        </w:rPr>
        <w:t>separate evaluation</w:t>
      </w:r>
      <w:r w:rsidR="00465F59">
        <w:rPr>
          <w:lang w:val="en-US"/>
        </w:rPr>
        <w:t>, then justifiability rather than evaluability may drive our effects</w:t>
      </w:r>
      <w:r w:rsidR="00C122DC" w:rsidRPr="00D16B79">
        <w:rPr>
          <w:lang w:val="en-US"/>
        </w:rPr>
        <w:t xml:space="preserve">. </w:t>
      </w:r>
      <w:r w:rsidR="009B6F0E">
        <w:rPr>
          <w:lang w:val="en-US"/>
        </w:rPr>
        <w:t xml:space="preserve">However, we predict that participants will </w:t>
      </w:r>
      <w:r w:rsidR="0064674D">
        <w:rPr>
          <w:lang w:val="en-US"/>
        </w:rPr>
        <w:t xml:space="preserve">state that need should be considered in any donation decision and justifiability will not differ across conditions. </w:t>
      </w:r>
    </w:p>
    <w:p w14:paraId="206E6837" w14:textId="77777777" w:rsidR="00AD3415" w:rsidRPr="00D16B79" w:rsidRDefault="00AD3415" w:rsidP="00AD3415">
      <w:pPr>
        <w:pStyle w:val="Heading2"/>
      </w:pPr>
      <w:r w:rsidRPr="00D16B79">
        <w:t>Method</w:t>
      </w:r>
    </w:p>
    <w:p w14:paraId="37BCD08D" w14:textId="0D5C8EA0" w:rsidR="00AD3415" w:rsidRPr="00D16B79" w:rsidRDefault="00AD3415" w:rsidP="00AD3415">
      <w:pPr>
        <w:spacing w:line="480" w:lineRule="auto"/>
        <w:ind w:firstLine="720"/>
        <w:rPr>
          <w:rFonts w:asciiTheme="majorHAnsi" w:hAnsiTheme="majorHAnsi" w:cstheme="majorHAnsi"/>
          <w:lang w:val="en-US"/>
        </w:rPr>
      </w:pPr>
      <w:r w:rsidRPr="00D16B79">
        <w:rPr>
          <w:i/>
          <w:iCs/>
          <w:lang w:val="en-US"/>
        </w:rPr>
        <w:t>Participants and design.</w:t>
      </w:r>
      <w:r w:rsidRPr="00D16B79">
        <w:rPr>
          <w:iCs/>
          <w:lang w:val="en-US"/>
        </w:rPr>
        <w:t xml:space="preserve"> </w:t>
      </w:r>
      <w:r w:rsidRPr="00D16B79">
        <w:rPr>
          <w:rFonts w:asciiTheme="majorHAnsi" w:hAnsiTheme="majorHAnsi" w:cstheme="majorHAnsi"/>
          <w:lang w:val="en-US"/>
        </w:rPr>
        <w:t xml:space="preserve">We recruited </w:t>
      </w:r>
      <w:r w:rsidR="001A5379" w:rsidRPr="00D16B79">
        <w:rPr>
          <w:rFonts w:asciiTheme="majorHAnsi" w:hAnsiTheme="majorHAnsi" w:cstheme="majorHAnsi"/>
          <w:lang w:val="en-US"/>
        </w:rPr>
        <w:t>6</w:t>
      </w:r>
      <w:r w:rsidRPr="00D16B79">
        <w:rPr>
          <w:rFonts w:asciiTheme="majorHAnsi" w:hAnsiTheme="majorHAnsi" w:cstheme="majorHAnsi"/>
          <w:lang w:val="en-US"/>
        </w:rPr>
        <w:t xml:space="preserve">01 </w:t>
      </w:r>
      <w:r w:rsidR="001A5379" w:rsidRPr="00D16B79">
        <w:rPr>
          <w:rFonts w:asciiTheme="majorHAnsi" w:hAnsiTheme="majorHAnsi" w:cstheme="majorHAnsi"/>
          <w:lang w:val="en-US"/>
        </w:rPr>
        <w:t xml:space="preserve">UK </w:t>
      </w:r>
      <w:r w:rsidRPr="00D16B79">
        <w:rPr>
          <w:rFonts w:asciiTheme="majorHAnsi" w:hAnsiTheme="majorHAnsi" w:cstheme="majorHAnsi"/>
          <w:lang w:val="en-US"/>
        </w:rPr>
        <w:t>participants</w:t>
      </w:r>
      <w:r w:rsidR="00D46546" w:rsidRPr="00D16B79">
        <w:rPr>
          <w:rFonts w:asciiTheme="majorHAnsi" w:hAnsiTheme="majorHAnsi" w:cstheme="majorHAnsi"/>
          <w:lang w:val="en-US"/>
        </w:rPr>
        <w:t xml:space="preserve"> </w:t>
      </w:r>
      <w:r w:rsidR="00D46546" w:rsidRPr="00D16B79">
        <w:rPr>
          <w:lang w:val="en-US"/>
        </w:rPr>
        <w:t>(</w:t>
      </w:r>
      <w:r w:rsidR="001A5379" w:rsidRPr="00D16B79">
        <w:rPr>
          <w:lang w:val="en-US"/>
        </w:rPr>
        <w:t>48.9% women, M</w:t>
      </w:r>
      <w:r w:rsidR="001A5379" w:rsidRPr="00D16B79">
        <w:rPr>
          <w:vertAlign w:val="subscript"/>
          <w:lang w:val="en-US"/>
        </w:rPr>
        <w:t>age</w:t>
      </w:r>
      <w:r w:rsidR="001A5379" w:rsidRPr="00D16B79">
        <w:rPr>
          <w:lang w:val="en-US"/>
        </w:rPr>
        <w:t xml:space="preserve"> = 40.64</w:t>
      </w:r>
      <w:r w:rsidR="00D46546" w:rsidRPr="00D16B79">
        <w:rPr>
          <w:lang w:val="en-US"/>
        </w:rPr>
        <w:t>)</w:t>
      </w:r>
      <w:r w:rsidRPr="00D16B79">
        <w:rPr>
          <w:rFonts w:asciiTheme="majorHAnsi" w:hAnsiTheme="majorHAnsi" w:cstheme="majorHAnsi"/>
          <w:lang w:val="en-US"/>
        </w:rPr>
        <w:t xml:space="preserve"> from Prolific</w:t>
      </w:r>
      <w:r w:rsidR="009D125E" w:rsidRPr="00D16B79">
        <w:rPr>
          <w:rFonts w:asciiTheme="majorHAnsi" w:hAnsiTheme="majorHAnsi" w:cstheme="majorHAnsi"/>
          <w:lang w:val="en-US"/>
        </w:rPr>
        <w:t xml:space="preserve"> Academic</w:t>
      </w:r>
      <w:r w:rsidRPr="00D16B79">
        <w:rPr>
          <w:rFonts w:asciiTheme="majorHAnsi" w:hAnsiTheme="majorHAnsi" w:cstheme="majorHAnsi"/>
          <w:lang w:val="en-US"/>
        </w:rPr>
        <w:t xml:space="preserve">. This study used a </w:t>
      </w:r>
      <w:r w:rsidR="001A5379" w:rsidRPr="00D16B79">
        <w:rPr>
          <w:rFonts w:asciiTheme="majorHAnsi" w:hAnsiTheme="majorHAnsi" w:cstheme="majorHAnsi"/>
          <w:lang w:val="en-US"/>
        </w:rPr>
        <w:t>4</w:t>
      </w:r>
      <w:r w:rsidRPr="00D16B79">
        <w:rPr>
          <w:rFonts w:asciiTheme="majorHAnsi" w:hAnsiTheme="majorHAnsi" w:cstheme="majorHAnsi"/>
          <w:lang w:val="en-US"/>
        </w:rPr>
        <w:t xml:space="preserve"> (Evaluation type: Joint vs</w:t>
      </w:r>
      <w:r w:rsidR="00D46546" w:rsidRPr="00D16B79">
        <w:rPr>
          <w:rFonts w:asciiTheme="majorHAnsi" w:hAnsiTheme="majorHAnsi" w:cstheme="majorHAnsi"/>
          <w:lang w:val="en-US"/>
        </w:rPr>
        <w:t>.</w:t>
      </w:r>
      <w:r w:rsidRPr="00D16B79">
        <w:rPr>
          <w:rFonts w:asciiTheme="majorHAnsi" w:hAnsiTheme="majorHAnsi" w:cstheme="majorHAnsi"/>
          <w:lang w:val="en-US"/>
        </w:rPr>
        <w:t xml:space="preserve"> Separate close</w:t>
      </w:r>
      <w:r w:rsidR="001A5379" w:rsidRPr="00D16B79">
        <w:rPr>
          <w:rFonts w:asciiTheme="majorHAnsi" w:hAnsiTheme="majorHAnsi" w:cstheme="majorHAnsi"/>
          <w:lang w:val="en-US"/>
        </w:rPr>
        <w:t xml:space="preserve">st to goal </w:t>
      </w:r>
      <w:r w:rsidRPr="00D16B79">
        <w:rPr>
          <w:rFonts w:asciiTheme="majorHAnsi" w:hAnsiTheme="majorHAnsi" w:cstheme="majorHAnsi"/>
          <w:lang w:val="en-US"/>
        </w:rPr>
        <w:t>vs</w:t>
      </w:r>
      <w:r w:rsidR="00D46546" w:rsidRPr="00D16B79">
        <w:rPr>
          <w:rFonts w:asciiTheme="majorHAnsi" w:hAnsiTheme="majorHAnsi" w:cstheme="majorHAnsi"/>
          <w:lang w:val="en-US"/>
        </w:rPr>
        <w:t>.</w:t>
      </w:r>
      <w:r w:rsidR="001A5379" w:rsidRPr="00D16B79">
        <w:rPr>
          <w:rFonts w:asciiTheme="majorHAnsi" w:hAnsiTheme="majorHAnsi" w:cstheme="majorHAnsi"/>
          <w:lang w:val="en-US"/>
        </w:rPr>
        <w:t xml:space="preserve"> Separate middle vs.</w:t>
      </w:r>
      <w:r w:rsidRPr="00D16B79">
        <w:rPr>
          <w:rFonts w:asciiTheme="majorHAnsi" w:hAnsiTheme="majorHAnsi" w:cstheme="majorHAnsi"/>
          <w:lang w:val="en-US"/>
        </w:rPr>
        <w:t xml:space="preserve"> Separate far</w:t>
      </w:r>
      <w:r w:rsidR="001A5379" w:rsidRPr="00D16B79">
        <w:rPr>
          <w:rFonts w:asciiTheme="majorHAnsi" w:hAnsiTheme="majorHAnsi" w:cstheme="majorHAnsi"/>
          <w:lang w:val="en-US"/>
        </w:rPr>
        <w:t>thest</w:t>
      </w:r>
      <w:r w:rsidRPr="00D16B79">
        <w:rPr>
          <w:rFonts w:asciiTheme="majorHAnsi" w:hAnsiTheme="majorHAnsi" w:cstheme="majorHAnsi"/>
          <w:lang w:val="en-US"/>
        </w:rPr>
        <w:t xml:space="preserve"> from goal) between-subjects design.</w:t>
      </w:r>
    </w:p>
    <w:p w14:paraId="03377C03" w14:textId="640E585F" w:rsidR="001A5379" w:rsidRPr="00D16B79" w:rsidRDefault="00AD3415" w:rsidP="001A5379">
      <w:pPr>
        <w:spacing w:line="480" w:lineRule="auto"/>
        <w:ind w:firstLine="720"/>
        <w:rPr>
          <w:rFonts w:asciiTheme="majorHAnsi" w:hAnsiTheme="majorHAnsi" w:cstheme="majorHAnsi"/>
          <w:lang w:val="en-US"/>
        </w:rPr>
      </w:pPr>
      <w:r w:rsidRPr="00D16B79">
        <w:rPr>
          <w:rFonts w:asciiTheme="majorHAnsi" w:hAnsiTheme="majorHAnsi" w:cstheme="majorHAnsi"/>
          <w:i/>
          <w:iCs/>
          <w:lang w:val="en-US"/>
        </w:rPr>
        <w:t>Procedure.</w:t>
      </w:r>
      <w:r w:rsidRPr="00D16B79">
        <w:rPr>
          <w:rFonts w:asciiTheme="majorHAnsi" w:hAnsiTheme="majorHAnsi" w:cstheme="majorHAnsi"/>
          <w:lang w:val="en-US"/>
        </w:rPr>
        <w:t xml:space="preserve"> Participants were informed at the start of the study that there </w:t>
      </w:r>
      <w:r w:rsidR="009D125E" w:rsidRPr="00D16B79">
        <w:rPr>
          <w:rFonts w:asciiTheme="majorHAnsi" w:hAnsiTheme="majorHAnsi" w:cstheme="majorHAnsi"/>
          <w:lang w:val="en-US"/>
        </w:rPr>
        <w:t xml:space="preserve">would be </w:t>
      </w:r>
      <w:r w:rsidRPr="00D16B79">
        <w:rPr>
          <w:rFonts w:asciiTheme="majorHAnsi" w:hAnsiTheme="majorHAnsi" w:cstheme="majorHAnsi"/>
          <w:lang w:val="en-US"/>
        </w:rPr>
        <w:t xml:space="preserve">an opportunity to donate to UNICEF and that they would be given 50 pence, in addition to their </w:t>
      </w:r>
      <w:r w:rsidR="000237C1" w:rsidRPr="00D16B79">
        <w:rPr>
          <w:lang w:val="en-US"/>
        </w:rPr>
        <w:t>£</w:t>
      </w:r>
      <w:r w:rsidR="000035C2" w:rsidRPr="00D16B79">
        <w:rPr>
          <w:lang w:val="en-US"/>
        </w:rPr>
        <w:t xml:space="preserve">0.50 </w:t>
      </w:r>
      <w:r w:rsidRPr="00D16B79">
        <w:rPr>
          <w:rFonts w:asciiTheme="majorHAnsi" w:hAnsiTheme="majorHAnsi" w:cstheme="majorHAnsi"/>
          <w:lang w:val="en-US"/>
        </w:rPr>
        <w:t xml:space="preserve">payment for participation. They could use the money to donate to the project(s) they will see or keep it for themselves. Thus, participants could choose to keep the bonus or donate it, making this a consequential decision. </w:t>
      </w:r>
      <w:r w:rsidR="001A5379" w:rsidRPr="00D16B79">
        <w:rPr>
          <w:rFonts w:asciiTheme="majorHAnsi" w:hAnsiTheme="majorHAnsi" w:cstheme="majorHAnsi"/>
          <w:lang w:val="en-US"/>
        </w:rPr>
        <w:t>Participants were then show</w:t>
      </w:r>
      <w:r w:rsidR="000D2A73" w:rsidRPr="00D16B79">
        <w:rPr>
          <w:rFonts w:asciiTheme="majorHAnsi" w:hAnsiTheme="majorHAnsi" w:cstheme="majorHAnsi"/>
          <w:lang w:val="en-US"/>
        </w:rPr>
        <w:t xml:space="preserve">n </w:t>
      </w:r>
      <w:r w:rsidR="001A5379" w:rsidRPr="00D16B79">
        <w:rPr>
          <w:rFonts w:asciiTheme="majorHAnsi" w:hAnsiTheme="majorHAnsi" w:cstheme="majorHAnsi"/>
          <w:lang w:val="en-US"/>
        </w:rPr>
        <w:t>either three charity projects</w:t>
      </w:r>
      <w:r w:rsidR="000D2A73" w:rsidRPr="00D16B79">
        <w:rPr>
          <w:rFonts w:asciiTheme="majorHAnsi" w:hAnsiTheme="majorHAnsi" w:cstheme="majorHAnsi"/>
          <w:lang w:val="en-US"/>
        </w:rPr>
        <w:t xml:space="preserve"> (joint evaluation) </w:t>
      </w:r>
      <w:r w:rsidR="001A5379" w:rsidRPr="00D16B79">
        <w:rPr>
          <w:rFonts w:asciiTheme="majorHAnsi" w:hAnsiTheme="majorHAnsi" w:cstheme="majorHAnsi"/>
          <w:lang w:val="en-US"/>
        </w:rPr>
        <w:t xml:space="preserve">or a single charity project </w:t>
      </w:r>
      <w:r w:rsidR="000D2A73" w:rsidRPr="00D16B79">
        <w:rPr>
          <w:rFonts w:asciiTheme="majorHAnsi" w:hAnsiTheme="majorHAnsi" w:cstheme="majorHAnsi"/>
          <w:lang w:val="en-US"/>
        </w:rPr>
        <w:t>(</w:t>
      </w:r>
      <w:r w:rsidR="00AB2BD1" w:rsidRPr="00D16B79">
        <w:rPr>
          <w:rFonts w:asciiTheme="majorHAnsi" w:hAnsiTheme="majorHAnsi" w:cstheme="majorHAnsi"/>
          <w:lang w:val="en-US"/>
        </w:rPr>
        <w:t>separate</w:t>
      </w:r>
      <w:r w:rsidR="000D2A73" w:rsidRPr="00D16B79">
        <w:rPr>
          <w:rFonts w:asciiTheme="majorHAnsi" w:hAnsiTheme="majorHAnsi" w:cstheme="majorHAnsi"/>
          <w:lang w:val="en-US"/>
        </w:rPr>
        <w:t xml:space="preserve"> evaluation) </w:t>
      </w:r>
      <w:r w:rsidR="001A5379" w:rsidRPr="00D16B79">
        <w:rPr>
          <w:rFonts w:asciiTheme="majorHAnsi" w:hAnsiTheme="majorHAnsi" w:cstheme="majorHAnsi"/>
          <w:lang w:val="en-US"/>
        </w:rPr>
        <w:t xml:space="preserve">from UNICEF. One of these projects was titled “Donate to buy a water pump” (adapted from </w:t>
      </w:r>
      <w:proofErr w:type="spellStart"/>
      <w:r w:rsidR="001A5379" w:rsidRPr="00D16B79">
        <w:rPr>
          <w:rFonts w:asciiTheme="majorHAnsi" w:hAnsiTheme="majorHAnsi" w:cstheme="majorHAnsi"/>
          <w:lang w:val="en-US"/>
        </w:rPr>
        <w:t>Bonezzi</w:t>
      </w:r>
      <w:proofErr w:type="spellEnd"/>
      <w:r w:rsidR="00604086" w:rsidRPr="00D16B79">
        <w:rPr>
          <w:rFonts w:asciiTheme="majorHAnsi" w:hAnsiTheme="majorHAnsi" w:cstheme="majorHAnsi"/>
          <w:lang w:val="en-US"/>
        </w:rPr>
        <w:t>,</w:t>
      </w:r>
      <w:r w:rsidR="001A5379" w:rsidRPr="00D16B79">
        <w:rPr>
          <w:rFonts w:asciiTheme="majorHAnsi" w:hAnsiTheme="majorHAnsi" w:cstheme="majorHAnsi"/>
          <w:lang w:val="en-US"/>
        </w:rPr>
        <w:t xml:space="preserve"> </w:t>
      </w:r>
      <w:proofErr w:type="spellStart"/>
      <w:r w:rsidR="00604086" w:rsidRPr="00D16B79">
        <w:rPr>
          <w:rFonts w:asciiTheme="majorHAnsi" w:hAnsiTheme="majorHAnsi" w:cstheme="majorHAnsi"/>
          <w:lang w:val="en-US"/>
        </w:rPr>
        <w:t>Brendl</w:t>
      </w:r>
      <w:proofErr w:type="spellEnd"/>
      <w:r w:rsidR="00604086" w:rsidRPr="00D16B79">
        <w:rPr>
          <w:rFonts w:asciiTheme="majorHAnsi" w:hAnsiTheme="majorHAnsi" w:cstheme="majorHAnsi"/>
          <w:lang w:val="en-US"/>
        </w:rPr>
        <w:t>, and De Angelis 2011</w:t>
      </w:r>
      <w:r w:rsidR="001A5379" w:rsidRPr="00D16B79">
        <w:rPr>
          <w:rFonts w:asciiTheme="majorHAnsi" w:hAnsiTheme="majorHAnsi" w:cstheme="majorHAnsi"/>
          <w:lang w:val="en-US"/>
        </w:rPr>
        <w:t xml:space="preserve">). The other two projects were selected based on a pretest with </w:t>
      </w:r>
      <w:r w:rsidR="000305CD" w:rsidRPr="00D16B79">
        <w:rPr>
          <w:rFonts w:asciiTheme="majorHAnsi" w:hAnsiTheme="majorHAnsi" w:cstheme="majorHAnsi"/>
          <w:lang w:val="en-US"/>
        </w:rPr>
        <w:t>six</w:t>
      </w:r>
      <w:r w:rsidR="001A5379" w:rsidRPr="00D16B79">
        <w:rPr>
          <w:rFonts w:asciiTheme="majorHAnsi" w:hAnsiTheme="majorHAnsi" w:cstheme="majorHAnsi"/>
          <w:lang w:val="en-US"/>
        </w:rPr>
        <w:t xml:space="preserve"> different charity projects asking participants to compare each project to donating to buy a water pump (see Appendix for details of pretest). The project</w:t>
      </w:r>
      <w:r w:rsidR="004F7024" w:rsidRPr="00D16B79">
        <w:rPr>
          <w:rFonts w:asciiTheme="majorHAnsi" w:hAnsiTheme="majorHAnsi" w:cstheme="majorHAnsi"/>
          <w:lang w:val="en-US"/>
        </w:rPr>
        <w:t>s</w:t>
      </w:r>
      <w:r w:rsidR="001A5379" w:rsidRPr="00D16B79">
        <w:rPr>
          <w:rFonts w:asciiTheme="majorHAnsi" w:hAnsiTheme="majorHAnsi" w:cstheme="majorHAnsi"/>
          <w:lang w:val="en-US"/>
        </w:rPr>
        <w:t xml:space="preserve"> titled “Donate to buy vaccines” and “Donate to restock a nutrition center” w</w:t>
      </w:r>
      <w:r w:rsidR="004F7024" w:rsidRPr="00D16B79">
        <w:rPr>
          <w:rFonts w:asciiTheme="majorHAnsi" w:hAnsiTheme="majorHAnsi" w:cstheme="majorHAnsi"/>
          <w:lang w:val="en-US"/>
        </w:rPr>
        <w:t>ere</w:t>
      </w:r>
      <w:r w:rsidR="001A5379" w:rsidRPr="00D16B79">
        <w:rPr>
          <w:rFonts w:asciiTheme="majorHAnsi" w:hAnsiTheme="majorHAnsi" w:cstheme="majorHAnsi"/>
          <w:lang w:val="en-US"/>
        </w:rPr>
        <w:t xml:space="preserve"> rated </w:t>
      </w:r>
      <w:r w:rsidR="00AD145E" w:rsidRPr="00D16B79">
        <w:rPr>
          <w:rFonts w:asciiTheme="majorHAnsi" w:hAnsiTheme="majorHAnsi" w:cstheme="majorHAnsi"/>
          <w:lang w:val="en-US"/>
        </w:rPr>
        <w:t xml:space="preserve">most similar </w:t>
      </w:r>
      <w:r w:rsidR="001A5379" w:rsidRPr="00D16B79">
        <w:rPr>
          <w:rFonts w:asciiTheme="majorHAnsi" w:hAnsiTheme="majorHAnsi" w:cstheme="majorHAnsi"/>
          <w:lang w:val="en-US"/>
        </w:rPr>
        <w:t xml:space="preserve">to the water pump project in impact and neediness and thus </w:t>
      </w:r>
      <w:r w:rsidR="00167186" w:rsidRPr="00D16B79">
        <w:rPr>
          <w:rFonts w:asciiTheme="majorHAnsi" w:hAnsiTheme="majorHAnsi" w:cstheme="majorHAnsi"/>
          <w:lang w:val="en-US"/>
        </w:rPr>
        <w:t xml:space="preserve">were </w:t>
      </w:r>
      <w:r w:rsidR="001A5379" w:rsidRPr="00D16B79">
        <w:rPr>
          <w:rFonts w:asciiTheme="majorHAnsi" w:hAnsiTheme="majorHAnsi" w:cstheme="majorHAnsi"/>
          <w:lang w:val="en-US"/>
        </w:rPr>
        <w:t>used in this study. T</w:t>
      </w:r>
      <w:r w:rsidR="000D2A73" w:rsidRPr="00D16B79">
        <w:rPr>
          <w:rFonts w:asciiTheme="majorHAnsi" w:hAnsiTheme="majorHAnsi" w:cstheme="majorHAnsi"/>
          <w:lang w:val="en-US"/>
        </w:rPr>
        <w:t>hus, t</w:t>
      </w:r>
      <w:r w:rsidR="001A5379" w:rsidRPr="00D16B79">
        <w:rPr>
          <w:rFonts w:asciiTheme="majorHAnsi" w:hAnsiTheme="majorHAnsi" w:cstheme="majorHAnsi"/>
          <w:lang w:val="en-US"/>
        </w:rPr>
        <w:t>h</w:t>
      </w:r>
      <w:r w:rsidR="00167186" w:rsidRPr="00D16B79">
        <w:rPr>
          <w:rFonts w:asciiTheme="majorHAnsi" w:hAnsiTheme="majorHAnsi" w:cstheme="majorHAnsi"/>
          <w:lang w:val="en-US"/>
        </w:rPr>
        <w:t>e</w:t>
      </w:r>
      <w:r w:rsidR="001A5379" w:rsidRPr="00D16B79">
        <w:rPr>
          <w:rFonts w:asciiTheme="majorHAnsi" w:hAnsiTheme="majorHAnsi" w:cstheme="majorHAnsi"/>
          <w:lang w:val="en-US"/>
        </w:rPr>
        <w:t xml:space="preserve"> three projects were for different, unrelated </w:t>
      </w:r>
      <w:r w:rsidR="000D2A73" w:rsidRPr="00D16B79">
        <w:rPr>
          <w:rFonts w:asciiTheme="majorHAnsi" w:hAnsiTheme="majorHAnsi" w:cstheme="majorHAnsi"/>
          <w:lang w:val="en-US"/>
        </w:rPr>
        <w:t xml:space="preserve">projects, </w:t>
      </w:r>
      <w:r w:rsidR="001A5379" w:rsidRPr="00D16B79">
        <w:rPr>
          <w:rFonts w:asciiTheme="majorHAnsi" w:hAnsiTheme="majorHAnsi" w:cstheme="majorHAnsi"/>
          <w:lang w:val="en-US"/>
        </w:rPr>
        <w:t xml:space="preserve">but </w:t>
      </w:r>
      <w:r w:rsidR="00167186" w:rsidRPr="00D16B79">
        <w:rPr>
          <w:rFonts w:asciiTheme="majorHAnsi" w:hAnsiTheme="majorHAnsi" w:cstheme="majorHAnsi"/>
          <w:lang w:val="en-US"/>
        </w:rPr>
        <w:t xml:space="preserve">were all </w:t>
      </w:r>
      <w:r w:rsidR="000D2A73" w:rsidRPr="00D16B79">
        <w:rPr>
          <w:rFonts w:asciiTheme="majorHAnsi" w:hAnsiTheme="majorHAnsi" w:cstheme="majorHAnsi"/>
          <w:lang w:val="en-US"/>
        </w:rPr>
        <w:t>associated with</w:t>
      </w:r>
      <w:r w:rsidR="001A5379" w:rsidRPr="00D16B79">
        <w:rPr>
          <w:rFonts w:asciiTheme="majorHAnsi" w:hAnsiTheme="majorHAnsi" w:cstheme="majorHAnsi"/>
          <w:lang w:val="en-US"/>
        </w:rPr>
        <w:t xml:space="preserve"> the same </w:t>
      </w:r>
      <w:r w:rsidR="000D2A73" w:rsidRPr="00D16B79">
        <w:rPr>
          <w:rFonts w:asciiTheme="majorHAnsi" w:hAnsiTheme="majorHAnsi" w:cstheme="majorHAnsi"/>
          <w:lang w:val="en-US"/>
        </w:rPr>
        <w:t xml:space="preserve">charitable </w:t>
      </w:r>
      <w:r w:rsidR="001A5379" w:rsidRPr="00D16B79">
        <w:rPr>
          <w:rFonts w:asciiTheme="majorHAnsi" w:hAnsiTheme="majorHAnsi" w:cstheme="majorHAnsi"/>
          <w:lang w:val="en-US"/>
        </w:rPr>
        <w:t>organization.</w:t>
      </w:r>
    </w:p>
    <w:p w14:paraId="37EEC207" w14:textId="03D2CE76" w:rsidR="001A5379" w:rsidRPr="00D16B79" w:rsidRDefault="001A5379" w:rsidP="001A5379">
      <w:pPr>
        <w:spacing w:line="480" w:lineRule="auto"/>
        <w:ind w:firstLine="720"/>
        <w:rPr>
          <w:rFonts w:asciiTheme="majorHAnsi" w:hAnsiTheme="majorHAnsi" w:cstheme="majorHAnsi"/>
          <w:lang w:val="en-US"/>
        </w:rPr>
      </w:pPr>
      <w:r w:rsidRPr="00D16B79">
        <w:rPr>
          <w:rFonts w:asciiTheme="majorHAnsi" w:hAnsiTheme="majorHAnsi" w:cstheme="majorHAnsi"/>
          <w:lang w:val="en-US"/>
        </w:rPr>
        <w:lastRenderedPageBreak/>
        <w:t xml:space="preserve">In the joint evaluation condition, the project farthest from the goal </w:t>
      </w:r>
      <w:r w:rsidR="00167186" w:rsidRPr="00D16B79">
        <w:rPr>
          <w:rFonts w:asciiTheme="majorHAnsi" w:hAnsiTheme="majorHAnsi" w:cstheme="majorHAnsi"/>
          <w:lang w:val="en-US"/>
        </w:rPr>
        <w:t xml:space="preserve">had </w:t>
      </w:r>
      <w:r w:rsidRPr="00D16B79">
        <w:rPr>
          <w:rFonts w:asciiTheme="majorHAnsi" w:hAnsiTheme="majorHAnsi" w:cstheme="majorHAnsi"/>
          <w:lang w:val="en-US"/>
        </w:rPr>
        <w:t xml:space="preserve">made 10% progress, the project in the middle </w:t>
      </w:r>
      <w:r w:rsidR="00167186" w:rsidRPr="00D16B79">
        <w:rPr>
          <w:rFonts w:asciiTheme="majorHAnsi" w:hAnsiTheme="majorHAnsi" w:cstheme="majorHAnsi"/>
          <w:lang w:val="en-US"/>
        </w:rPr>
        <w:t xml:space="preserve">had </w:t>
      </w:r>
      <w:r w:rsidRPr="00D16B79">
        <w:rPr>
          <w:rFonts w:asciiTheme="majorHAnsi" w:hAnsiTheme="majorHAnsi" w:cstheme="majorHAnsi"/>
          <w:lang w:val="en-US"/>
        </w:rPr>
        <w:t xml:space="preserve">made 50% progress, and the one closest to the goal </w:t>
      </w:r>
      <w:r w:rsidR="00167186" w:rsidRPr="00D16B79">
        <w:rPr>
          <w:rFonts w:asciiTheme="majorHAnsi" w:hAnsiTheme="majorHAnsi" w:cstheme="majorHAnsi"/>
          <w:lang w:val="en-US"/>
        </w:rPr>
        <w:t xml:space="preserve">had </w:t>
      </w:r>
      <w:r w:rsidRPr="00D16B79">
        <w:rPr>
          <w:rFonts w:asciiTheme="majorHAnsi" w:hAnsiTheme="majorHAnsi" w:cstheme="majorHAnsi"/>
          <w:lang w:val="en-US"/>
        </w:rPr>
        <w:t>made 90% progress. In the separate evaluation conditions participants saw one of each of these progress levels: SE far (10%) v</w:t>
      </w:r>
      <w:r w:rsidR="00167186" w:rsidRPr="00D16B79">
        <w:rPr>
          <w:rFonts w:asciiTheme="majorHAnsi" w:hAnsiTheme="majorHAnsi" w:cstheme="majorHAnsi"/>
          <w:lang w:val="en-US"/>
        </w:rPr>
        <w:t>ersus</w:t>
      </w:r>
      <w:r w:rsidRPr="00D16B79">
        <w:rPr>
          <w:rFonts w:asciiTheme="majorHAnsi" w:hAnsiTheme="majorHAnsi" w:cstheme="majorHAnsi"/>
          <w:lang w:val="en-US"/>
        </w:rPr>
        <w:t xml:space="preserve"> SE middle (50%) v</w:t>
      </w:r>
      <w:r w:rsidR="00167186" w:rsidRPr="00D16B79">
        <w:rPr>
          <w:rFonts w:asciiTheme="majorHAnsi" w:hAnsiTheme="majorHAnsi" w:cstheme="majorHAnsi"/>
          <w:lang w:val="en-US"/>
        </w:rPr>
        <w:t>ersus</w:t>
      </w:r>
      <w:r w:rsidRPr="00D16B79">
        <w:rPr>
          <w:rFonts w:asciiTheme="majorHAnsi" w:hAnsiTheme="majorHAnsi" w:cstheme="majorHAnsi"/>
          <w:lang w:val="en-US"/>
        </w:rPr>
        <w:t xml:space="preserve"> SE close</w:t>
      </w:r>
      <w:r w:rsidR="00116339" w:rsidRPr="00D16B79">
        <w:rPr>
          <w:rFonts w:asciiTheme="majorHAnsi" w:hAnsiTheme="majorHAnsi" w:cstheme="majorHAnsi"/>
          <w:lang w:val="en-US"/>
        </w:rPr>
        <w:t xml:space="preserve"> (90%)</w:t>
      </w:r>
      <w:r w:rsidRPr="00D16B79">
        <w:rPr>
          <w:rFonts w:asciiTheme="majorHAnsi" w:hAnsiTheme="majorHAnsi" w:cstheme="majorHAnsi"/>
          <w:lang w:val="en-US"/>
        </w:rPr>
        <w:t xml:space="preserve">. We counterbalanced which of </w:t>
      </w:r>
      <w:r w:rsidR="00167186" w:rsidRPr="00D16B79">
        <w:rPr>
          <w:rFonts w:asciiTheme="majorHAnsi" w:hAnsiTheme="majorHAnsi" w:cstheme="majorHAnsi"/>
          <w:lang w:val="en-US"/>
        </w:rPr>
        <w:t xml:space="preserve">the </w:t>
      </w:r>
      <w:r w:rsidRPr="00D16B79">
        <w:rPr>
          <w:rFonts w:asciiTheme="majorHAnsi" w:hAnsiTheme="majorHAnsi" w:cstheme="majorHAnsi"/>
          <w:lang w:val="en-US"/>
        </w:rPr>
        <w:t xml:space="preserve">three projects (Water pump, Vaccine, and Nutrition Center) were at </w:t>
      </w:r>
      <w:r w:rsidR="00C25951" w:rsidRPr="00D16B79">
        <w:rPr>
          <w:rFonts w:asciiTheme="majorHAnsi" w:hAnsiTheme="majorHAnsi" w:cstheme="majorHAnsi"/>
          <w:lang w:val="en-US"/>
        </w:rPr>
        <w:t>each</w:t>
      </w:r>
      <w:r w:rsidRPr="00D16B79">
        <w:rPr>
          <w:rFonts w:asciiTheme="majorHAnsi" w:hAnsiTheme="majorHAnsi" w:cstheme="majorHAnsi"/>
          <w:lang w:val="en-US"/>
        </w:rPr>
        <w:t xml:space="preserve"> level of progress.</w:t>
      </w:r>
      <w:r w:rsidR="00C25951" w:rsidRPr="00D16B79">
        <w:rPr>
          <w:rFonts w:asciiTheme="majorHAnsi" w:hAnsiTheme="majorHAnsi" w:cstheme="majorHAnsi"/>
          <w:lang w:val="en-US"/>
        </w:rPr>
        <w:t xml:space="preserve"> </w:t>
      </w:r>
      <w:r w:rsidR="00AD3415" w:rsidRPr="00D16B79">
        <w:rPr>
          <w:rFonts w:asciiTheme="majorHAnsi" w:hAnsiTheme="majorHAnsi" w:cstheme="majorHAnsi"/>
          <w:lang w:val="en-US"/>
        </w:rPr>
        <w:t xml:space="preserve">Participants were then reminded that they had earned a bonus of £0.50 and that they could donate their bonus to the UNICEF project(s) they just saw or keep the money for themselves, in addition to their payment. </w:t>
      </w:r>
      <w:r w:rsidR="000F3DFB" w:rsidRPr="00D16B79">
        <w:rPr>
          <w:rFonts w:asciiTheme="majorHAnsi" w:hAnsiTheme="majorHAnsi" w:cstheme="majorHAnsi"/>
          <w:lang w:val="en-US"/>
        </w:rPr>
        <w:t xml:space="preserve">Unlike previous studies, participants </w:t>
      </w:r>
      <w:r w:rsidR="00AD3415" w:rsidRPr="00D16B79">
        <w:rPr>
          <w:rFonts w:asciiTheme="majorHAnsi" w:hAnsiTheme="majorHAnsi" w:cstheme="majorHAnsi"/>
          <w:lang w:val="en-US"/>
        </w:rPr>
        <w:t xml:space="preserve">were not able to split their donation in this study and </w:t>
      </w:r>
      <w:r w:rsidR="000F3DFB" w:rsidRPr="00D16B79">
        <w:rPr>
          <w:rFonts w:asciiTheme="majorHAnsi" w:hAnsiTheme="majorHAnsi" w:cstheme="majorHAnsi"/>
          <w:lang w:val="en-US"/>
        </w:rPr>
        <w:t xml:space="preserve">thus </w:t>
      </w:r>
      <w:r w:rsidR="00AD3415" w:rsidRPr="00D16B79">
        <w:rPr>
          <w:rFonts w:asciiTheme="majorHAnsi" w:hAnsiTheme="majorHAnsi" w:cstheme="majorHAnsi"/>
          <w:lang w:val="en-US"/>
        </w:rPr>
        <w:t>would have to give the</w:t>
      </w:r>
      <w:r w:rsidR="00F1545D" w:rsidRPr="00D16B79">
        <w:rPr>
          <w:rFonts w:asciiTheme="majorHAnsi" w:hAnsiTheme="majorHAnsi" w:cstheme="majorHAnsi"/>
          <w:lang w:val="en-US"/>
        </w:rPr>
        <w:t xml:space="preserve"> full</w:t>
      </w:r>
      <w:r w:rsidR="00AD3415" w:rsidRPr="00D16B79">
        <w:rPr>
          <w:rFonts w:asciiTheme="majorHAnsi" w:hAnsiTheme="majorHAnsi" w:cstheme="majorHAnsi"/>
          <w:lang w:val="en-US"/>
        </w:rPr>
        <w:t xml:space="preserve"> bonus they had earned if they decided to donate. </w:t>
      </w:r>
      <w:r w:rsidR="00F1545D" w:rsidRPr="00D16B79">
        <w:rPr>
          <w:rFonts w:asciiTheme="majorHAnsi" w:hAnsiTheme="majorHAnsi" w:cstheme="majorHAnsi"/>
          <w:lang w:val="en-US"/>
        </w:rPr>
        <w:t xml:space="preserve">Participants </w:t>
      </w:r>
      <w:r w:rsidR="00AD3415" w:rsidRPr="00D16B79">
        <w:rPr>
          <w:rFonts w:asciiTheme="majorHAnsi" w:hAnsiTheme="majorHAnsi" w:cstheme="majorHAnsi"/>
          <w:lang w:val="en-US"/>
        </w:rPr>
        <w:t xml:space="preserve">indicated their </w:t>
      </w:r>
      <w:r w:rsidR="000D2A73" w:rsidRPr="00D16B79">
        <w:rPr>
          <w:rFonts w:asciiTheme="majorHAnsi" w:hAnsiTheme="majorHAnsi" w:cstheme="majorHAnsi"/>
          <w:lang w:val="en-US"/>
        </w:rPr>
        <w:t>choice</w:t>
      </w:r>
      <w:r w:rsidR="00AD3415" w:rsidRPr="00D16B79">
        <w:rPr>
          <w:rFonts w:asciiTheme="majorHAnsi" w:hAnsiTheme="majorHAnsi" w:cstheme="majorHAnsi"/>
          <w:lang w:val="en-US"/>
        </w:rPr>
        <w:t xml:space="preserve">, and the money was </w:t>
      </w:r>
      <w:r w:rsidR="009D125E" w:rsidRPr="00D16B79">
        <w:rPr>
          <w:rFonts w:asciiTheme="majorHAnsi" w:hAnsiTheme="majorHAnsi" w:cstheme="majorHAnsi"/>
          <w:lang w:val="en-US"/>
        </w:rPr>
        <w:t xml:space="preserve">later </w:t>
      </w:r>
      <w:r w:rsidR="00AD3415" w:rsidRPr="00D16B79">
        <w:rPr>
          <w:rFonts w:asciiTheme="majorHAnsi" w:hAnsiTheme="majorHAnsi" w:cstheme="majorHAnsi"/>
          <w:lang w:val="en-US"/>
        </w:rPr>
        <w:t xml:space="preserve">distributed </w:t>
      </w:r>
      <w:r w:rsidR="00F1545D" w:rsidRPr="00D16B79">
        <w:rPr>
          <w:rFonts w:asciiTheme="majorHAnsi" w:hAnsiTheme="majorHAnsi" w:cstheme="majorHAnsi"/>
          <w:lang w:val="en-US"/>
        </w:rPr>
        <w:t xml:space="preserve">to the causes and participants </w:t>
      </w:r>
      <w:r w:rsidR="00AD3415" w:rsidRPr="00D16B79">
        <w:rPr>
          <w:rFonts w:asciiTheme="majorHAnsi" w:hAnsiTheme="majorHAnsi" w:cstheme="majorHAnsi"/>
          <w:lang w:val="en-US"/>
        </w:rPr>
        <w:t>according to their answers.</w:t>
      </w:r>
      <w:r w:rsidR="001B028D" w:rsidRPr="00D16B79">
        <w:rPr>
          <w:rFonts w:asciiTheme="majorHAnsi" w:hAnsiTheme="majorHAnsi" w:cstheme="majorHAnsi"/>
          <w:lang w:val="en-US"/>
        </w:rPr>
        <w:t xml:space="preserve"> </w:t>
      </w:r>
      <w:r w:rsidRPr="00D16B79">
        <w:rPr>
          <w:rFonts w:asciiTheme="majorHAnsi" w:hAnsiTheme="majorHAnsi" w:cstheme="majorHAnsi"/>
          <w:lang w:val="en-US"/>
        </w:rPr>
        <w:t xml:space="preserve">As in the previous study, we measured participants’ perceptions of need for the projects they saw by asking “How much was each of the following projects in need?” from 1 </w:t>
      </w:r>
      <w:r w:rsidR="00167186" w:rsidRPr="00D16B79">
        <w:rPr>
          <w:rFonts w:asciiTheme="majorHAnsi" w:hAnsiTheme="majorHAnsi" w:cstheme="majorHAnsi"/>
          <w:lang w:val="en-US"/>
        </w:rPr>
        <w:t>=</w:t>
      </w:r>
      <w:r w:rsidRPr="00D16B79">
        <w:rPr>
          <w:rFonts w:asciiTheme="majorHAnsi" w:hAnsiTheme="majorHAnsi" w:cstheme="majorHAnsi"/>
          <w:lang w:val="en-US"/>
        </w:rPr>
        <w:t xml:space="preserve"> </w:t>
      </w:r>
      <w:r w:rsidR="00D4226D" w:rsidRPr="00D16B79">
        <w:rPr>
          <w:rFonts w:asciiTheme="majorHAnsi" w:hAnsiTheme="majorHAnsi" w:cstheme="majorHAnsi"/>
          <w:lang w:val="en-US"/>
        </w:rPr>
        <w:t>“n</w:t>
      </w:r>
      <w:r w:rsidRPr="00D16B79">
        <w:rPr>
          <w:rFonts w:asciiTheme="majorHAnsi" w:hAnsiTheme="majorHAnsi" w:cstheme="majorHAnsi"/>
          <w:lang w:val="en-US"/>
        </w:rPr>
        <w:t>ot at all</w:t>
      </w:r>
      <w:r w:rsidR="00D4226D" w:rsidRPr="00D16B79">
        <w:rPr>
          <w:rFonts w:asciiTheme="majorHAnsi" w:hAnsiTheme="majorHAnsi" w:cstheme="majorHAnsi"/>
          <w:lang w:val="en-US"/>
        </w:rPr>
        <w:t>”</w:t>
      </w:r>
      <w:r w:rsidRPr="00D16B79">
        <w:rPr>
          <w:rFonts w:asciiTheme="majorHAnsi" w:hAnsiTheme="majorHAnsi" w:cstheme="majorHAnsi"/>
          <w:lang w:val="en-US"/>
        </w:rPr>
        <w:t xml:space="preserve"> to 7 </w:t>
      </w:r>
      <w:r w:rsidR="00167186" w:rsidRPr="00D16B79">
        <w:rPr>
          <w:rFonts w:asciiTheme="majorHAnsi" w:hAnsiTheme="majorHAnsi" w:cstheme="majorHAnsi"/>
          <w:lang w:val="en-US"/>
        </w:rPr>
        <w:t>=</w:t>
      </w:r>
      <w:r w:rsidRPr="00D16B79">
        <w:rPr>
          <w:rFonts w:asciiTheme="majorHAnsi" w:hAnsiTheme="majorHAnsi" w:cstheme="majorHAnsi"/>
          <w:lang w:val="en-US"/>
        </w:rPr>
        <w:t xml:space="preserve"> </w:t>
      </w:r>
      <w:r w:rsidR="00D4226D" w:rsidRPr="00D16B79">
        <w:rPr>
          <w:rFonts w:asciiTheme="majorHAnsi" w:hAnsiTheme="majorHAnsi" w:cstheme="majorHAnsi"/>
          <w:lang w:val="en-US"/>
        </w:rPr>
        <w:t>“v</w:t>
      </w:r>
      <w:r w:rsidRPr="00D16B79">
        <w:rPr>
          <w:rFonts w:asciiTheme="majorHAnsi" w:hAnsiTheme="majorHAnsi" w:cstheme="majorHAnsi"/>
          <w:lang w:val="en-US"/>
        </w:rPr>
        <w:t xml:space="preserve">ery </w:t>
      </w:r>
      <w:r w:rsidR="00CE32DA" w:rsidRPr="00D16B79">
        <w:rPr>
          <w:rFonts w:asciiTheme="majorHAnsi" w:hAnsiTheme="majorHAnsi" w:cstheme="majorHAnsi"/>
          <w:lang w:val="en-US"/>
        </w:rPr>
        <w:t>m</w:t>
      </w:r>
      <w:r w:rsidRPr="00D16B79">
        <w:rPr>
          <w:rFonts w:asciiTheme="majorHAnsi" w:hAnsiTheme="majorHAnsi" w:cstheme="majorHAnsi"/>
          <w:lang w:val="en-US"/>
        </w:rPr>
        <w:t>uch</w:t>
      </w:r>
      <w:r w:rsidR="00D4226D" w:rsidRPr="00D16B79">
        <w:rPr>
          <w:rFonts w:asciiTheme="majorHAnsi" w:hAnsiTheme="majorHAnsi" w:cstheme="majorHAnsi"/>
          <w:lang w:val="en-US"/>
        </w:rPr>
        <w:t>”</w:t>
      </w:r>
      <w:r w:rsidRPr="00D16B79">
        <w:rPr>
          <w:rFonts w:asciiTheme="majorHAnsi" w:hAnsiTheme="majorHAnsi" w:cstheme="majorHAnsi"/>
          <w:lang w:val="en-US"/>
        </w:rPr>
        <w:t xml:space="preserve">. </w:t>
      </w:r>
    </w:p>
    <w:p w14:paraId="11BE5185" w14:textId="4192781B" w:rsidR="001A5379" w:rsidRPr="00D16B79" w:rsidRDefault="001A5379" w:rsidP="001A5379">
      <w:pPr>
        <w:spacing w:line="480" w:lineRule="auto"/>
        <w:ind w:firstLine="720"/>
        <w:rPr>
          <w:rFonts w:asciiTheme="majorHAnsi" w:hAnsiTheme="majorHAnsi" w:cstheme="majorHAnsi"/>
          <w:lang w:val="en-US"/>
        </w:rPr>
      </w:pPr>
      <w:r w:rsidRPr="00D16B79">
        <w:rPr>
          <w:rFonts w:asciiTheme="majorHAnsi" w:hAnsiTheme="majorHAnsi" w:cstheme="majorHAnsi"/>
          <w:lang w:val="en-US"/>
        </w:rPr>
        <w:t>Participants also rated the information they saw in terms of evaluability and justifiability (</w:t>
      </w:r>
      <w:r w:rsidR="004E56F0">
        <w:rPr>
          <w:rFonts w:asciiTheme="majorHAnsi" w:hAnsiTheme="majorHAnsi" w:cstheme="majorHAnsi"/>
          <w:lang w:val="en-US"/>
        </w:rPr>
        <w:t xml:space="preserve">adapted from </w:t>
      </w:r>
      <w:r w:rsidRPr="00D16B79">
        <w:rPr>
          <w:rFonts w:asciiTheme="majorHAnsi" w:hAnsiTheme="majorHAnsi" w:cstheme="majorHAnsi"/>
          <w:lang w:val="en-US"/>
        </w:rPr>
        <w:t xml:space="preserve">Li and Hsee 2019). For evaluability, participants saw questions reflecting the condition they were </w:t>
      </w:r>
      <w:r w:rsidR="00557CCC" w:rsidRPr="00D16B79">
        <w:rPr>
          <w:rFonts w:asciiTheme="majorHAnsi" w:hAnsiTheme="majorHAnsi" w:cstheme="majorHAnsi"/>
          <w:lang w:val="en-US"/>
        </w:rPr>
        <w:t>assigned to</w:t>
      </w:r>
      <w:r w:rsidRPr="00D16B79">
        <w:rPr>
          <w:rFonts w:asciiTheme="majorHAnsi" w:hAnsiTheme="majorHAnsi" w:cstheme="majorHAnsi"/>
          <w:lang w:val="en-US"/>
        </w:rPr>
        <w:t xml:space="preserve"> (e.g., those in JE saw three charities and those in SE saw one</w:t>
      </w:r>
      <w:r w:rsidR="00557CCC" w:rsidRPr="00D16B79">
        <w:rPr>
          <w:rFonts w:asciiTheme="majorHAnsi" w:hAnsiTheme="majorHAnsi" w:cstheme="majorHAnsi"/>
          <w:lang w:val="en-US"/>
        </w:rPr>
        <w:t>;</w:t>
      </w:r>
      <w:r w:rsidRPr="00D16B79">
        <w:rPr>
          <w:rFonts w:asciiTheme="majorHAnsi" w:hAnsiTheme="majorHAnsi" w:cstheme="majorHAnsi"/>
          <w:lang w:val="en-US"/>
        </w:rPr>
        <w:t xml:space="preserve"> “If an organization has raised £30 out of £300, do you have any idea how in need they are?” </w:t>
      </w:r>
      <w:r w:rsidR="00D4226D" w:rsidRPr="00D16B79">
        <w:rPr>
          <w:rFonts w:asciiTheme="majorHAnsi" w:hAnsiTheme="majorHAnsi" w:cstheme="majorHAnsi"/>
          <w:lang w:val="en-US"/>
        </w:rPr>
        <w:t xml:space="preserve">from </w:t>
      </w:r>
      <w:r w:rsidRPr="00D16B79">
        <w:rPr>
          <w:rFonts w:asciiTheme="majorHAnsi" w:hAnsiTheme="majorHAnsi" w:cstheme="majorHAnsi"/>
          <w:lang w:val="en-US"/>
        </w:rPr>
        <w:t xml:space="preserve">1 </w:t>
      </w:r>
      <w:r w:rsidR="00557CCC" w:rsidRPr="00D16B79">
        <w:rPr>
          <w:rFonts w:asciiTheme="majorHAnsi" w:hAnsiTheme="majorHAnsi" w:cstheme="majorHAnsi"/>
          <w:lang w:val="en-US"/>
        </w:rPr>
        <w:t>=</w:t>
      </w:r>
      <w:r w:rsidRPr="00D16B79">
        <w:rPr>
          <w:rFonts w:asciiTheme="majorHAnsi" w:hAnsiTheme="majorHAnsi" w:cstheme="majorHAnsi"/>
          <w:lang w:val="en-US"/>
        </w:rPr>
        <w:t xml:space="preserve"> </w:t>
      </w:r>
      <w:r w:rsidR="00D4226D" w:rsidRPr="00D16B79">
        <w:rPr>
          <w:rFonts w:asciiTheme="majorHAnsi" w:hAnsiTheme="majorHAnsi" w:cstheme="majorHAnsi"/>
          <w:lang w:val="en-US"/>
        </w:rPr>
        <w:t>“</w:t>
      </w:r>
      <w:r w:rsidRPr="00D16B79">
        <w:rPr>
          <w:rFonts w:asciiTheme="majorHAnsi" w:hAnsiTheme="majorHAnsi" w:cstheme="majorHAnsi"/>
          <w:lang w:val="en-US"/>
        </w:rPr>
        <w:t>I don</w:t>
      </w:r>
      <w:r w:rsidR="00AD145E" w:rsidRPr="00D16B79">
        <w:rPr>
          <w:rFonts w:asciiTheme="majorHAnsi" w:hAnsiTheme="majorHAnsi" w:cstheme="majorHAnsi"/>
          <w:lang w:val="en-US"/>
        </w:rPr>
        <w:t>’</w:t>
      </w:r>
      <w:r w:rsidRPr="00D16B79">
        <w:rPr>
          <w:rFonts w:asciiTheme="majorHAnsi" w:hAnsiTheme="majorHAnsi" w:cstheme="majorHAnsi"/>
          <w:lang w:val="en-US"/>
        </w:rPr>
        <w:t>t have any idea</w:t>
      </w:r>
      <w:r w:rsidR="00D4226D" w:rsidRPr="00D16B79">
        <w:rPr>
          <w:rFonts w:asciiTheme="majorHAnsi" w:hAnsiTheme="majorHAnsi" w:cstheme="majorHAnsi"/>
          <w:lang w:val="en-US"/>
        </w:rPr>
        <w:t>”</w:t>
      </w:r>
      <w:r w:rsidR="00557CCC" w:rsidRPr="00D16B79">
        <w:rPr>
          <w:rFonts w:asciiTheme="majorHAnsi" w:hAnsiTheme="majorHAnsi" w:cstheme="majorHAnsi"/>
          <w:lang w:val="en-US"/>
        </w:rPr>
        <w:t>,</w:t>
      </w:r>
      <w:r w:rsidRPr="00D16B79">
        <w:rPr>
          <w:rFonts w:asciiTheme="majorHAnsi" w:hAnsiTheme="majorHAnsi" w:cstheme="majorHAnsi"/>
          <w:lang w:val="en-US"/>
        </w:rPr>
        <w:t xml:space="preserve"> and 7 </w:t>
      </w:r>
      <w:r w:rsidR="00557CCC" w:rsidRPr="00D16B79">
        <w:rPr>
          <w:rFonts w:asciiTheme="majorHAnsi" w:hAnsiTheme="majorHAnsi" w:cstheme="majorHAnsi"/>
          <w:lang w:val="en-US"/>
        </w:rPr>
        <w:t>=</w:t>
      </w:r>
      <w:r w:rsidRPr="00D16B79">
        <w:rPr>
          <w:rFonts w:asciiTheme="majorHAnsi" w:hAnsiTheme="majorHAnsi" w:cstheme="majorHAnsi"/>
          <w:lang w:val="en-US"/>
        </w:rPr>
        <w:t xml:space="preserve"> </w:t>
      </w:r>
      <w:r w:rsidR="00D4226D" w:rsidRPr="00D16B79">
        <w:rPr>
          <w:rFonts w:asciiTheme="majorHAnsi" w:hAnsiTheme="majorHAnsi" w:cstheme="majorHAnsi"/>
          <w:lang w:val="en-US"/>
        </w:rPr>
        <w:t>“</w:t>
      </w:r>
      <w:r w:rsidRPr="00D16B79">
        <w:rPr>
          <w:rFonts w:asciiTheme="majorHAnsi" w:hAnsiTheme="majorHAnsi" w:cstheme="majorHAnsi"/>
          <w:lang w:val="en-US"/>
        </w:rPr>
        <w:t>I have a clear idea</w:t>
      </w:r>
      <w:r w:rsidR="00D4226D" w:rsidRPr="00D16B79">
        <w:rPr>
          <w:rFonts w:asciiTheme="majorHAnsi" w:hAnsiTheme="majorHAnsi" w:cstheme="majorHAnsi"/>
          <w:lang w:val="en-US"/>
        </w:rPr>
        <w:t>”</w:t>
      </w:r>
      <w:r w:rsidRPr="00D16B79">
        <w:rPr>
          <w:rFonts w:asciiTheme="majorHAnsi" w:hAnsiTheme="majorHAnsi" w:cstheme="majorHAnsi"/>
          <w:lang w:val="en-US"/>
        </w:rPr>
        <w:t>)</w:t>
      </w:r>
      <w:r w:rsidR="00557CCC" w:rsidRPr="00D16B79">
        <w:rPr>
          <w:rFonts w:asciiTheme="majorHAnsi" w:hAnsiTheme="majorHAnsi" w:cstheme="majorHAnsi"/>
          <w:lang w:val="en-US"/>
        </w:rPr>
        <w:t>. For</w:t>
      </w:r>
      <w:r w:rsidRPr="00D16B79">
        <w:rPr>
          <w:rFonts w:asciiTheme="majorHAnsi" w:hAnsiTheme="majorHAnsi" w:cstheme="majorHAnsi"/>
          <w:lang w:val="en-US"/>
        </w:rPr>
        <w:t xml:space="preserve"> justifiability</w:t>
      </w:r>
      <w:r w:rsidR="00557CCC" w:rsidRPr="00D16B79">
        <w:rPr>
          <w:rFonts w:asciiTheme="majorHAnsi" w:hAnsiTheme="majorHAnsi" w:cstheme="majorHAnsi"/>
          <w:lang w:val="en-US"/>
        </w:rPr>
        <w:t xml:space="preserve">, participants all answered the same question </w:t>
      </w:r>
      <w:r w:rsidRPr="00D16B79">
        <w:rPr>
          <w:rFonts w:asciiTheme="majorHAnsi" w:hAnsiTheme="majorHAnsi" w:cstheme="majorHAnsi"/>
          <w:lang w:val="en-US"/>
        </w:rPr>
        <w:t xml:space="preserve">(“When making donation decisions, do you think you should consider how much the organization is in need?” 1 </w:t>
      </w:r>
      <w:r w:rsidR="0018680E" w:rsidRPr="00D16B79">
        <w:rPr>
          <w:rFonts w:asciiTheme="majorHAnsi" w:hAnsiTheme="majorHAnsi" w:cstheme="majorHAnsi"/>
          <w:lang w:val="en-US"/>
        </w:rPr>
        <w:t>=</w:t>
      </w:r>
      <w:r w:rsidRPr="00D16B79">
        <w:rPr>
          <w:rFonts w:asciiTheme="majorHAnsi" w:hAnsiTheme="majorHAnsi" w:cstheme="majorHAnsi"/>
          <w:lang w:val="en-US"/>
        </w:rPr>
        <w:t xml:space="preserve"> </w:t>
      </w:r>
      <w:r w:rsidR="00D4226D" w:rsidRPr="00D16B79">
        <w:rPr>
          <w:rFonts w:asciiTheme="majorHAnsi" w:hAnsiTheme="majorHAnsi" w:cstheme="majorHAnsi"/>
          <w:lang w:val="en-US"/>
        </w:rPr>
        <w:t>“s</w:t>
      </w:r>
      <w:r w:rsidRPr="00D16B79">
        <w:rPr>
          <w:rFonts w:asciiTheme="majorHAnsi" w:hAnsiTheme="majorHAnsi" w:cstheme="majorHAnsi"/>
          <w:lang w:val="en-US"/>
        </w:rPr>
        <w:t>hould not consider</w:t>
      </w:r>
      <w:r w:rsidR="00D4226D" w:rsidRPr="00D16B79">
        <w:rPr>
          <w:rFonts w:asciiTheme="majorHAnsi" w:hAnsiTheme="majorHAnsi" w:cstheme="majorHAnsi"/>
          <w:lang w:val="en-US"/>
        </w:rPr>
        <w:t>”</w:t>
      </w:r>
      <w:r w:rsidR="0018680E" w:rsidRPr="00D16B79">
        <w:rPr>
          <w:rFonts w:asciiTheme="majorHAnsi" w:hAnsiTheme="majorHAnsi" w:cstheme="majorHAnsi"/>
          <w:lang w:val="en-US"/>
        </w:rPr>
        <w:t>,</w:t>
      </w:r>
      <w:r w:rsidRPr="00D16B79">
        <w:rPr>
          <w:rFonts w:asciiTheme="majorHAnsi" w:hAnsiTheme="majorHAnsi" w:cstheme="majorHAnsi"/>
          <w:lang w:val="en-US"/>
        </w:rPr>
        <w:t xml:space="preserve"> and 7 </w:t>
      </w:r>
      <w:r w:rsidR="0018680E" w:rsidRPr="00D16B79">
        <w:rPr>
          <w:rFonts w:asciiTheme="majorHAnsi" w:hAnsiTheme="majorHAnsi" w:cstheme="majorHAnsi"/>
          <w:lang w:val="en-US"/>
        </w:rPr>
        <w:t>=</w:t>
      </w:r>
      <w:r w:rsidRPr="00D16B79">
        <w:rPr>
          <w:rFonts w:asciiTheme="majorHAnsi" w:hAnsiTheme="majorHAnsi" w:cstheme="majorHAnsi"/>
          <w:lang w:val="en-US"/>
        </w:rPr>
        <w:t xml:space="preserve"> </w:t>
      </w:r>
      <w:r w:rsidR="00D4226D" w:rsidRPr="00D16B79">
        <w:rPr>
          <w:rFonts w:asciiTheme="majorHAnsi" w:hAnsiTheme="majorHAnsi" w:cstheme="majorHAnsi"/>
          <w:lang w:val="en-US"/>
        </w:rPr>
        <w:t>“s</w:t>
      </w:r>
      <w:r w:rsidRPr="00D16B79">
        <w:rPr>
          <w:rFonts w:asciiTheme="majorHAnsi" w:hAnsiTheme="majorHAnsi" w:cstheme="majorHAnsi"/>
          <w:lang w:val="en-US"/>
        </w:rPr>
        <w:t>hould definitely consider</w:t>
      </w:r>
      <w:r w:rsidR="00D4226D" w:rsidRPr="00D16B79">
        <w:rPr>
          <w:rFonts w:asciiTheme="majorHAnsi" w:hAnsiTheme="majorHAnsi" w:cstheme="majorHAnsi"/>
          <w:lang w:val="en-US"/>
        </w:rPr>
        <w:t>”</w:t>
      </w:r>
      <w:r w:rsidRPr="00D16B79">
        <w:rPr>
          <w:rFonts w:asciiTheme="majorHAnsi" w:hAnsiTheme="majorHAnsi" w:cstheme="majorHAnsi"/>
          <w:lang w:val="en-US"/>
        </w:rPr>
        <w:t>). Lastly, participants completed an attention check.</w:t>
      </w:r>
    </w:p>
    <w:p w14:paraId="60851BBF" w14:textId="14AB3FD4" w:rsidR="00D46546" w:rsidRPr="00D16B79" w:rsidRDefault="007250FA" w:rsidP="00D46546">
      <w:pPr>
        <w:pStyle w:val="Heading2"/>
      </w:pPr>
      <w:r>
        <w:lastRenderedPageBreak/>
        <w:t xml:space="preserve"> </w:t>
      </w:r>
      <w:r w:rsidR="00D46546" w:rsidRPr="00D16B79">
        <w:t xml:space="preserve">Results </w:t>
      </w:r>
    </w:p>
    <w:p w14:paraId="6D865D94" w14:textId="13C6A8EC" w:rsidR="00D46546" w:rsidRPr="00D16B79" w:rsidRDefault="00D46546" w:rsidP="001A5379">
      <w:pPr>
        <w:spacing w:line="480" w:lineRule="auto"/>
        <w:ind w:firstLine="720"/>
        <w:rPr>
          <w:rFonts w:ascii="Times New Roman" w:hAnsi="Times New Roman"/>
          <w:lang w:val="en-US"/>
        </w:rPr>
      </w:pPr>
      <w:r w:rsidRPr="00D16B79">
        <w:rPr>
          <w:rFonts w:ascii="Times New Roman" w:hAnsi="Times New Roman"/>
          <w:i/>
          <w:lang w:val="en-US"/>
        </w:rPr>
        <w:t xml:space="preserve">Data </w:t>
      </w:r>
      <w:r w:rsidR="00F96A3C" w:rsidRPr="00D16B79">
        <w:rPr>
          <w:rFonts w:ascii="Times New Roman" w:hAnsi="Times New Roman"/>
          <w:i/>
          <w:lang w:val="en-US"/>
        </w:rPr>
        <w:t>p</w:t>
      </w:r>
      <w:r w:rsidRPr="00D16B79">
        <w:rPr>
          <w:rFonts w:ascii="Times New Roman" w:hAnsi="Times New Roman"/>
          <w:i/>
          <w:lang w:val="en-US"/>
        </w:rPr>
        <w:t>reparation.</w:t>
      </w:r>
      <w:r w:rsidRPr="00D16B79">
        <w:rPr>
          <w:rFonts w:ascii="Times New Roman" w:hAnsi="Times New Roman"/>
          <w:lang w:val="en-US"/>
        </w:rPr>
        <w:t xml:space="preserve"> </w:t>
      </w:r>
      <w:r w:rsidRPr="00D16B79">
        <w:rPr>
          <w:rFonts w:asciiTheme="majorHAnsi" w:hAnsiTheme="majorHAnsi" w:cstheme="majorHAnsi"/>
          <w:lang w:val="en-US"/>
        </w:rPr>
        <w:t>After excluding participants</w:t>
      </w:r>
      <w:r w:rsidR="000A3210" w:rsidRPr="00D16B79">
        <w:rPr>
          <w:rFonts w:asciiTheme="majorHAnsi" w:hAnsiTheme="majorHAnsi" w:cstheme="majorHAnsi"/>
          <w:lang w:val="en-US"/>
        </w:rPr>
        <w:t xml:space="preserve"> </w:t>
      </w:r>
      <w:r w:rsidRPr="00D16B79">
        <w:rPr>
          <w:rFonts w:asciiTheme="majorHAnsi" w:hAnsiTheme="majorHAnsi" w:cstheme="majorHAnsi"/>
          <w:lang w:val="en-US"/>
        </w:rPr>
        <w:t xml:space="preserve">who failed </w:t>
      </w:r>
      <w:r w:rsidR="009D125E" w:rsidRPr="00D16B79">
        <w:rPr>
          <w:rFonts w:asciiTheme="majorHAnsi" w:hAnsiTheme="majorHAnsi" w:cstheme="majorHAnsi"/>
          <w:lang w:val="en-US"/>
        </w:rPr>
        <w:t>the</w:t>
      </w:r>
      <w:r w:rsidRPr="00D16B79">
        <w:rPr>
          <w:rFonts w:asciiTheme="majorHAnsi" w:hAnsiTheme="majorHAnsi" w:cstheme="majorHAnsi"/>
          <w:lang w:val="en-US"/>
        </w:rPr>
        <w:t xml:space="preserve"> attention check</w:t>
      </w:r>
      <w:r w:rsidR="009D125E" w:rsidRPr="00D16B79">
        <w:rPr>
          <w:rFonts w:asciiTheme="majorHAnsi" w:hAnsiTheme="majorHAnsi" w:cstheme="majorHAnsi"/>
          <w:lang w:val="en-US"/>
        </w:rPr>
        <w:t xml:space="preserve"> (as per our pre-registered criteria)</w:t>
      </w:r>
      <w:r w:rsidRPr="00D16B79">
        <w:rPr>
          <w:rFonts w:asciiTheme="majorHAnsi" w:hAnsiTheme="majorHAnsi" w:cstheme="majorHAnsi"/>
          <w:lang w:val="en-US"/>
        </w:rPr>
        <w:t xml:space="preserve">, we were left with </w:t>
      </w:r>
      <w:r w:rsidR="001A5379" w:rsidRPr="00D16B79">
        <w:rPr>
          <w:rFonts w:asciiTheme="majorHAnsi" w:hAnsiTheme="majorHAnsi" w:cstheme="majorHAnsi"/>
          <w:lang w:val="en-US"/>
        </w:rPr>
        <w:t>586</w:t>
      </w:r>
      <w:r w:rsidRPr="00D16B79">
        <w:rPr>
          <w:rFonts w:asciiTheme="majorHAnsi" w:hAnsiTheme="majorHAnsi" w:cstheme="majorHAnsi"/>
          <w:lang w:val="en-US"/>
        </w:rPr>
        <w:t xml:space="preserve"> participants </w:t>
      </w:r>
      <w:r w:rsidR="001A5379" w:rsidRPr="00D16B79">
        <w:rPr>
          <w:rFonts w:ascii="Times New Roman" w:eastAsia="Times New Roman" w:hAnsi="Times New Roman"/>
          <w:kern w:val="2"/>
          <w:lang w:val="en-US"/>
          <w14:ligatures w14:val="standardContextual"/>
        </w:rPr>
        <w:t>(49.</w:t>
      </w:r>
      <w:r w:rsidR="00B27C4F" w:rsidRPr="00D16B79">
        <w:rPr>
          <w:rFonts w:ascii="Times New Roman" w:eastAsia="Times New Roman" w:hAnsi="Times New Roman"/>
          <w:kern w:val="2"/>
          <w:lang w:val="en-US"/>
          <w14:ligatures w14:val="standardContextual"/>
        </w:rPr>
        <w:t>3</w:t>
      </w:r>
      <w:r w:rsidR="001A5379" w:rsidRPr="00D16B79">
        <w:rPr>
          <w:rFonts w:ascii="Times New Roman" w:eastAsia="Times New Roman" w:hAnsi="Times New Roman"/>
          <w:kern w:val="2"/>
          <w:lang w:val="en-US"/>
          <w14:ligatures w14:val="standardContextual"/>
        </w:rPr>
        <w:t xml:space="preserve">% </w:t>
      </w:r>
      <w:r w:rsidR="002648C8" w:rsidRPr="00D16B79">
        <w:rPr>
          <w:rFonts w:ascii="Times New Roman" w:eastAsia="Times New Roman" w:hAnsi="Times New Roman"/>
          <w:kern w:val="2"/>
          <w:lang w:val="en-US"/>
          <w14:ligatures w14:val="standardContextual"/>
        </w:rPr>
        <w:t>w</w:t>
      </w:r>
      <w:r w:rsidR="001A5379" w:rsidRPr="00D16B79">
        <w:rPr>
          <w:rFonts w:ascii="Times New Roman" w:eastAsia="Times New Roman" w:hAnsi="Times New Roman"/>
          <w:kern w:val="2"/>
          <w:lang w:val="en-US"/>
          <w14:ligatures w14:val="standardContextual"/>
        </w:rPr>
        <w:t>omen, M</w:t>
      </w:r>
      <w:r w:rsidR="001A5379" w:rsidRPr="00D16B79">
        <w:rPr>
          <w:rFonts w:ascii="Times New Roman" w:eastAsia="Times New Roman" w:hAnsi="Times New Roman"/>
          <w:kern w:val="2"/>
          <w:vertAlign w:val="subscript"/>
          <w:lang w:val="en-US"/>
          <w14:ligatures w14:val="standardContextual"/>
        </w:rPr>
        <w:t>age</w:t>
      </w:r>
      <w:r w:rsidR="001A5379" w:rsidRPr="00D16B79">
        <w:rPr>
          <w:rFonts w:ascii="Times New Roman" w:eastAsia="Times New Roman" w:hAnsi="Times New Roman"/>
          <w:kern w:val="2"/>
          <w:lang w:val="en-US"/>
          <w14:ligatures w14:val="standardContextual"/>
        </w:rPr>
        <w:t xml:space="preserve"> = 40.80</w:t>
      </w:r>
      <w:r w:rsidRPr="00D16B79">
        <w:rPr>
          <w:rFonts w:asciiTheme="majorHAnsi" w:hAnsiTheme="majorHAnsi" w:cstheme="majorHAnsi"/>
          <w:lang w:val="en-US"/>
        </w:rPr>
        <w:t>).</w:t>
      </w:r>
    </w:p>
    <w:p w14:paraId="1FF2187D" w14:textId="289201EA" w:rsidR="001A5379" w:rsidRPr="00D16B79" w:rsidRDefault="004E65FC" w:rsidP="001A5379">
      <w:pPr>
        <w:spacing w:line="480" w:lineRule="auto"/>
        <w:ind w:firstLine="720"/>
        <w:rPr>
          <w:rFonts w:ascii="Times New Roman" w:eastAsia="Times New Roman" w:hAnsi="Times New Roman"/>
          <w:kern w:val="2"/>
          <w:lang w:val="en-US"/>
          <w14:ligatures w14:val="standardContextual"/>
        </w:rPr>
      </w:pPr>
      <w:r w:rsidRPr="00D16B79">
        <w:rPr>
          <w:rFonts w:asciiTheme="majorHAnsi" w:hAnsiTheme="majorHAnsi" w:cstheme="majorHAnsi"/>
          <w:i/>
          <w:lang w:val="en-US"/>
        </w:rPr>
        <w:t>Donation</w:t>
      </w:r>
      <w:r w:rsidR="0070307F" w:rsidRPr="00D16B79">
        <w:rPr>
          <w:rFonts w:asciiTheme="majorHAnsi" w:hAnsiTheme="majorHAnsi" w:cstheme="majorHAnsi"/>
          <w:i/>
          <w:lang w:val="en-US"/>
        </w:rPr>
        <w:t xml:space="preserve">. </w:t>
      </w:r>
      <w:r w:rsidR="00AD145E" w:rsidRPr="00D16B79">
        <w:rPr>
          <w:rFonts w:asciiTheme="majorHAnsi" w:hAnsiTheme="majorHAnsi" w:cstheme="majorHAnsi"/>
          <w:iCs/>
          <w:lang w:val="en-US"/>
        </w:rPr>
        <w:t xml:space="preserve">Average donation amounts </w:t>
      </w:r>
      <w:r w:rsidR="0073160F">
        <w:rPr>
          <w:rFonts w:asciiTheme="majorHAnsi" w:hAnsiTheme="majorHAnsi" w:cstheme="majorHAnsi"/>
          <w:iCs/>
          <w:lang w:val="en-US"/>
        </w:rPr>
        <w:t xml:space="preserve">and the percentage of people who chose to donate </w:t>
      </w:r>
      <w:r w:rsidR="00AD145E" w:rsidRPr="00D16B79">
        <w:rPr>
          <w:rFonts w:asciiTheme="majorHAnsi" w:hAnsiTheme="majorHAnsi" w:cstheme="majorHAnsi"/>
          <w:iCs/>
          <w:lang w:val="en-US"/>
        </w:rPr>
        <w:t xml:space="preserve">in each condition are summarized in Table 1. </w:t>
      </w:r>
      <w:r w:rsidR="00B16030" w:rsidRPr="00D16B79">
        <w:rPr>
          <w:rFonts w:asciiTheme="majorHAnsi" w:hAnsiTheme="majorHAnsi" w:cstheme="majorHAnsi"/>
          <w:iCs/>
          <w:lang w:val="en-US"/>
        </w:rPr>
        <w:t>O</w:t>
      </w:r>
      <w:r w:rsidR="00053D77" w:rsidRPr="00D16B79">
        <w:rPr>
          <w:rFonts w:asciiTheme="majorHAnsi" w:hAnsiTheme="majorHAnsi" w:cstheme="majorHAnsi"/>
          <w:iCs/>
          <w:lang w:val="en-US"/>
        </w:rPr>
        <w:t>verall donation levels (giving to at least one charity vs keeping the money for oneself) were</w:t>
      </w:r>
      <w:r w:rsidR="00B16030" w:rsidRPr="00D16B79">
        <w:rPr>
          <w:rFonts w:asciiTheme="majorHAnsi" w:hAnsiTheme="majorHAnsi" w:cstheme="majorHAnsi"/>
          <w:iCs/>
          <w:lang w:val="en-US"/>
        </w:rPr>
        <w:t xml:space="preserve"> statistically higher in joint </w:t>
      </w:r>
      <w:r w:rsidR="00053D77" w:rsidRPr="00D16B79">
        <w:rPr>
          <w:rFonts w:asciiTheme="majorHAnsi" w:hAnsiTheme="majorHAnsi" w:cstheme="majorHAnsi"/>
          <w:iCs/>
          <w:lang w:val="en-US"/>
        </w:rPr>
        <w:t>(</w:t>
      </w:r>
      <w:proofErr w:type="spellStart"/>
      <w:r w:rsidR="00053D77" w:rsidRPr="00D16B79">
        <w:rPr>
          <w:rFonts w:asciiTheme="majorHAnsi" w:hAnsiTheme="majorHAnsi" w:cstheme="majorHAnsi"/>
          <w:iCs/>
          <w:lang w:val="en-US"/>
        </w:rPr>
        <w:t>M</w:t>
      </w:r>
      <w:r w:rsidR="00201437" w:rsidRPr="00D16B79">
        <w:rPr>
          <w:rFonts w:asciiTheme="majorHAnsi" w:hAnsiTheme="majorHAnsi" w:cstheme="majorHAnsi"/>
          <w:iCs/>
          <w:vertAlign w:val="subscript"/>
          <w:lang w:val="en-US"/>
        </w:rPr>
        <w:t>donate</w:t>
      </w:r>
      <w:proofErr w:type="spellEnd"/>
      <w:r w:rsidR="00053D77" w:rsidRPr="00D16B79">
        <w:rPr>
          <w:rFonts w:asciiTheme="majorHAnsi" w:hAnsiTheme="majorHAnsi" w:cstheme="majorHAnsi"/>
          <w:iCs/>
          <w:lang w:val="en-US"/>
        </w:rPr>
        <w:t xml:space="preserve"> = 0.</w:t>
      </w:r>
      <w:r w:rsidR="00201437" w:rsidRPr="00D16B79">
        <w:rPr>
          <w:rFonts w:asciiTheme="majorHAnsi" w:hAnsiTheme="majorHAnsi" w:cstheme="majorHAnsi"/>
          <w:iCs/>
          <w:lang w:val="en-US"/>
        </w:rPr>
        <w:t xml:space="preserve">32 and </w:t>
      </w:r>
      <w:proofErr w:type="spellStart"/>
      <w:r w:rsidR="00201437" w:rsidRPr="00D16B79">
        <w:rPr>
          <w:rFonts w:asciiTheme="majorHAnsi" w:hAnsiTheme="majorHAnsi" w:cstheme="majorHAnsi"/>
          <w:iCs/>
          <w:lang w:val="en-US"/>
        </w:rPr>
        <w:t>M</w:t>
      </w:r>
      <w:r w:rsidR="00201437" w:rsidRPr="00D16B79">
        <w:rPr>
          <w:rFonts w:asciiTheme="majorHAnsi" w:hAnsiTheme="majorHAnsi" w:cstheme="majorHAnsi"/>
          <w:iCs/>
          <w:vertAlign w:val="subscript"/>
          <w:lang w:val="en-US"/>
        </w:rPr>
        <w:t>keep</w:t>
      </w:r>
      <w:proofErr w:type="spellEnd"/>
      <w:r w:rsidR="00201437" w:rsidRPr="00D16B79">
        <w:rPr>
          <w:rFonts w:asciiTheme="majorHAnsi" w:hAnsiTheme="majorHAnsi" w:cstheme="majorHAnsi"/>
          <w:iCs/>
          <w:lang w:val="en-US"/>
        </w:rPr>
        <w:t xml:space="preserve"> = 0.18</w:t>
      </w:r>
      <w:r w:rsidR="00053D77" w:rsidRPr="00D16B79">
        <w:rPr>
          <w:rFonts w:asciiTheme="majorHAnsi" w:hAnsiTheme="majorHAnsi" w:cstheme="majorHAnsi"/>
          <w:iCs/>
          <w:lang w:val="en-US"/>
        </w:rPr>
        <w:t xml:space="preserve">) </w:t>
      </w:r>
      <w:r w:rsidR="00B16030" w:rsidRPr="00D16B79">
        <w:rPr>
          <w:rFonts w:asciiTheme="majorHAnsi" w:hAnsiTheme="majorHAnsi" w:cstheme="majorHAnsi"/>
          <w:iCs/>
          <w:lang w:val="en-US"/>
        </w:rPr>
        <w:t xml:space="preserve">compared to separate evaluation </w:t>
      </w:r>
      <w:r w:rsidR="00053D77" w:rsidRPr="00D16B79">
        <w:rPr>
          <w:rFonts w:asciiTheme="majorHAnsi" w:hAnsiTheme="majorHAnsi" w:cstheme="majorHAnsi"/>
          <w:iCs/>
          <w:lang w:val="en-US"/>
        </w:rPr>
        <w:t>(M = 0.</w:t>
      </w:r>
      <w:r w:rsidR="00201437" w:rsidRPr="00D16B79">
        <w:rPr>
          <w:rFonts w:asciiTheme="majorHAnsi" w:hAnsiTheme="majorHAnsi" w:cstheme="majorHAnsi"/>
          <w:iCs/>
          <w:lang w:val="en-US"/>
        </w:rPr>
        <w:t xml:space="preserve">27 and </w:t>
      </w:r>
      <w:proofErr w:type="spellStart"/>
      <w:r w:rsidR="00201437" w:rsidRPr="00D16B79">
        <w:rPr>
          <w:rFonts w:asciiTheme="majorHAnsi" w:hAnsiTheme="majorHAnsi" w:cstheme="majorHAnsi"/>
          <w:iCs/>
          <w:lang w:val="en-US"/>
        </w:rPr>
        <w:t>M</w:t>
      </w:r>
      <w:r w:rsidR="00201437" w:rsidRPr="00D16B79">
        <w:rPr>
          <w:rFonts w:asciiTheme="majorHAnsi" w:hAnsiTheme="majorHAnsi" w:cstheme="majorHAnsi"/>
          <w:iCs/>
          <w:vertAlign w:val="subscript"/>
          <w:lang w:val="en-US"/>
        </w:rPr>
        <w:t>keep</w:t>
      </w:r>
      <w:proofErr w:type="spellEnd"/>
      <w:r w:rsidR="00201437" w:rsidRPr="00D16B79">
        <w:rPr>
          <w:rFonts w:asciiTheme="majorHAnsi" w:hAnsiTheme="majorHAnsi" w:cstheme="majorHAnsi"/>
          <w:iCs/>
          <w:lang w:val="en-US"/>
        </w:rPr>
        <w:t xml:space="preserve"> = 0.23</w:t>
      </w:r>
      <w:r w:rsidR="00053D77" w:rsidRPr="00D16B79">
        <w:rPr>
          <w:rFonts w:asciiTheme="majorHAnsi" w:hAnsiTheme="majorHAnsi" w:cstheme="majorHAnsi"/>
          <w:iCs/>
          <w:lang w:val="en-US"/>
        </w:rPr>
        <w:t xml:space="preserve">), </w:t>
      </w:r>
      <w:r w:rsidR="00053D77" w:rsidRPr="00D16B79">
        <w:rPr>
          <w:rFonts w:ascii="Times New Roman" w:eastAsia="Times New Roman" w:hAnsi="Times New Roman"/>
          <w:kern w:val="2"/>
          <w:lang w:val="en-US"/>
          <w14:ligatures w14:val="standardContextual"/>
        </w:rPr>
        <w:t>t(</w:t>
      </w:r>
      <w:r w:rsidR="00B16030" w:rsidRPr="00D16B79">
        <w:rPr>
          <w:rFonts w:ascii="Times New Roman" w:eastAsia="Times New Roman" w:hAnsi="Times New Roman"/>
          <w:kern w:val="2"/>
          <w:lang w:val="en-US"/>
          <w14:ligatures w14:val="standardContextual"/>
        </w:rPr>
        <w:t>584</w:t>
      </w:r>
      <w:r w:rsidR="00053D77" w:rsidRPr="00D16B79">
        <w:rPr>
          <w:rFonts w:ascii="Times New Roman" w:eastAsia="Times New Roman" w:hAnsi="Times New Roman"/>
          <w:kern w:val="2"/>
          <w:lang w:val="en-US"/>
          <w14:ligatures w14:val="standardContextual"/>
        </w:rPr>
        <w:t xml:space="preserve">) = </w:t>
      </w:r>
      <w:r w:rsidR="00A72FF1" w:rsidRPr="00D16B79">
        <w:rPr>
          <w:rFonts w:ascii="Times New Roman" w:eastAsia="Times New Roman" w:hAnsi="Times New Roman"/>
          <w:kern w:val="2"/>
          <w:lang w:val="en-US"/>
          <w14:ligatures w14:val="standardContextual"/>
        </w:rPr>
        <w:t>2.00</w:t>
      </w:r>
      <w:r w:rsidR="00053D77" w:rsidRPr="00D16B79">
        <w:rPr>
          <w:rFonts w:ascii="Times New Roman" w:eastAsia="Times New Roman" w:hAnsi="Times New Roman"/>
          <w:kern w:val="2"/>
          <w:lang w:val="en-US"/>
          <w14:ligatures w14:val="standardContextual"/>
        </w:rPr>
        <w:t xml:space="preserve">, </w:t>
      </w:r>
      <w:r w:rsidR="00053D77" w:rsidRPr="00D16B79">
        <w:rPr>
          <w:rFonts w:ascii="Times New Roman" w:eastAsia="Times New Roman" w:hAnsi="Times New Roman"/>
          <w:i/>
          <w:iCs/>
          <w:kern w:val="2"/>
          <w:lang w:val="en-US"/>
          <w14:ligatures w14:val="standardContextual"/>
        </w:rPr>
        <w:t>p</w:t>
      </w:r>
      <w:r w:rsidR="00053D77" w:rsidRPr="00D16B79">
        <w:rPr>
          <w:rFonts w:ascii="Times New Roman" w:eastAsia="Times New Roman" w:hAnsi="Times New Roman"/>
          <w:kern w:val="2"/>
          <w:lang w:val="en-US"/>
          <w14:ligatures w14:val="standardContextual"/>
        </w:rPr>
        <w:t xml:space="preserve"> = .</w:t>
      </w:r>
      <w:r w:rsidR="00B16030" w:rsidRPr="00D16B79">
        <w:rPr>
          <w:rFonts w:ascii="Times New Roman" w:eastAsia="Times New Roman" w:hAnsi="Times New Roman"/>
          <w:kern w:val="2"/>
          <w:lang w:val="en-US"/>
          <w14:ligatures w14:val="standardContextual"/>
        </w:rPr>
        <w:t>05</w:t>
      </w:r>
      <w:r w:rsidR="00053D77" w:rsidRPr="00D16B79">
        <w:rPr>
          <w:rFonts w:ascii="Times New Roman" w:eastAsia="Times New Roman" w:hAnsi="Times New Roman"/>
          <w:kern w:val="2"/>
          <w:lang w:val="en-US"/>
          <w14:ligatures w14:val="standardContextual"/>
        </w:rPr>
        <w:t xml:space="preserve">. </w:t>
      </w:r>
      <w:r w:rsidR="00D85F40" w:rsidRPr="00D16B79">
        <w:rPr>
          <w:rFonts w:ascii="Times New Roman" w:eastAsia="Times New Roman" w:hAnsi="Times New Roman"/>
          <w:kern w:val="2"/>
          <w:lang w:val="en-US"/>
          <w14:ligatures w14:val="standardContextual"/>
        </w:rPr>
        <w:t>Moreover</w:t>
      </w:r>
      <w:r w:rsidR="00053D77" w:rsidRPr="00D16B79">
        <w:rPr>
          <w:rFonts w:ascii="Times New Roman" w:eastAsia="Times New Roman" w:hAnsi="Times New Roman"/>
          <w:kern w:val="2"/>
          <w:lang w:val="en-US"/>
          <w14:ligatures w14:val="standardContextual"/>
        </w:rPr>
        <w:t xml:space="preserve">, the pattern of donations shifted, from giving roughly equal amounts to each charity in SE, to giving more to the charity furthest from its goal in JE, supporting H1. </w:t>
      </w:r>
      <w:r w:rsidR="00D85F40" w:rsidRPr="00D16B79">
        <w:rPr>
          <w:rFonts w:ascii="Times New Roman" w:eastAsia="Times New Roman" w:hAnsi="Times New Roman"/>
          <w:kern w:val="2"/>
          <w:lang w:val="en-US"/>
          <w14:ligatures w14:val="standardContextual"/>
        </w:rPr>
        <w:t>In order to test this statistically, w</w:t>
      </w:r>
      <w:r w:rsidR="001A5379" w:rsidRPr="00D16B79">
        <w:rPr>
          <w:rFonts w:ascii="Times New Roman" w:eastAsia="Times New Roman" w:hAnsi="Times New Roman"/>
          <w:kern w:val="2"/>
          <w:lang w:val="en-US"/>
          <w14:ligatures w14:val="standardContextual"/>
        </w:rPr>
        <w:t>e ran two separate hybrid t-tests in joint vs. separate evaluation for the charity farthest from its goal compared to (</w:t>
      </w:r>
      <w:proofErr w:type="spellStart"/>
      <w:r w:rsidR="001A5379" w:rsidRPr="00D16B79">
        <w:rPr>
          <w:rFonts w:ascii="Times New Roman" w:eastAsia="Times New Roman" w:hAnsi="Times New Roman"/>
          <w:kern w:val="2"/>
          <w:lang w:val="en-US"/>
          <w14:ligatures w14:val="standardContextual"/>
        </w:rPr>
        <w:t>i</w:t>
      </w:r>
      <w:proofErr w:type="spellEnd"/>
      <w:r w:rsidR="001A5379" w:rsidRPr="00D16B79">
        <w:rPr>
          <w:rFonts w:ascii="Times New Roman" w:eastAsia="Times New Roman" w:hAnsi="Times New Roman"/>
          <w:kern w:val="2"/>
          <w:lang w:val="en-US"/>
          <w14:ligatures w14:val="standardContextual"/>
        </w:rPr>
        <w:t>) the project closest to its goal and (ii) the project in the middle, based on Hsee (1996). The hybrid t-test for (</w:t>
      </w:r>
      <w:proofErr w:type="spellStart"/>
      <w:r w:rsidR="001A5379" w:rsidRPr="00D16B79">
        <w:rPr>
          <w:rFonts w:ascii="Times New Roman" w:eastAsia="Times New Roman" w:hAnsi="Times New Roman"/>
          <w:kern w:val="2"/>
          <w:lang w:val="en-US"/>
          <w14:ligatures w14:val="standardContextual"/>
        </w:rPr>
        <w:t>i</w:t>
      </w:r>
      <w:proofErr w:type="spellEnd"/>
      <w:r w:rsidR="001A5379" w:rsidRPr="00D16B79">
        <w:rPr>
          <w:rFonts w:ascii="Times New Roman" w:eastAsia="Times New Roman" w:hAnsi="Times New Roman"/>
          <w:kern w:val="2"/>
          <w:lang w:val="en-US"/>
          <w14:ligatures w14:val="standardContextual"/>
        </w:rPr>
        <w:t>) revealed a significant preference shift in donations between joint and separate evaluation</w:t>
      </w:r>
      <w:r w:rsidR="00CB15BD" w:rsidRPr="00D16B79">
        <w:rPr>
          <w:rFonts w:ascii="Times New Roman" w:eastAsia="Times New Roman" w:hAnsi="Times New Roman"/>
          <w:kern w:val="2"/>
          <w:lang w:val="en-US"/>
          <w14:ligatures w14:val="standardContextual"/>
        </w:rPr>
        <w:t xml:space="preserve"> modes</w:t>
      </w:r>
      <w:r w:rsidR="001A5379" w:rsidRPr="00D16B79">
        <w:rPr>
          <w:rFonts w:ascii="Times New Roman" w:eastAsia="Times New Roman" w:hAnsi="Times New Roman"/>
          <w:kern w:val="2"/>
          <w:lang w:val="en-US"/>
          <w14:ligatures w14:val="standardContextual"/>
        </w:rPr>
        <w:t xml:space="preserve">, t(441) = 2.70, </w:t>
      </w:r>
      <w:r w:rsidR="001A5379" w:rsidRPr="00D16B79">
        <w:rPr>
          <w:rFonts w:ascii="Times New Roman" w:eastAsia="Times New Roman" w:hAnsi="Times New Roman"/>
          <w:i/>
          <w:iCs/>
          <w:kern w:val="2"/>
          <w:lang w:val="en-US"/>
          <w14:ligatures w14:val="standardContextual"/>
        </w:rPr>
        <w:t>p</w:t>
      </w:r>
      <w:r w:rsidR="001A5379" w:rsidRPr="00D16B79">
        <w:rPr>
          <w:rFonts w:ascii="Times New Roman" w:eastAsia="Times New Roman" w:hAnsi="Times New Roman"/>
          <w:kern w:val="2"/>
          <w:lang w:val="en-US"/>
          <w14:ligatures w14:val="standardContextual"/>
        </w:rPr>
        <w:t xml:space="preserve"> = .007. Following up with paired samples t-tests in JE showed that participants </w:t>
      </w:r>
      <w:r w:rsidR="006708E8">
        <w:rPr>
          <w:rFonts w:ascii="Times New Roman" w:eastAsia="Times New Roman" w:hAnsi="Times New Roman"/>
          <w:kern w:val="2"/>
          <w:lang w:val="en-US"/>
          <w14:ligatures w14:val="standardContextual"/>
        </w:rPr>
        <w:t xml:space="preserve">also </w:t>
      </w:r>
      <w:r w:rsidR="001A5379" w:rsidRPr="00D16B79">
        <w:rPr>
          <w:rFonts w:ascii="Times New Roman" w:eastAsia="Times New Roman" w:hAnsi="Times New Roman"/>
          <w:kern w:val="2"/>
          <w:lang w:val="en-US"/>
          <w14:ligatures w14:val="standardContextual"/>
        </w:rPr>
        <w:t xml:space="preserve">donated more to the charity farthest from its goal (M = 0.16) than closest to its goal (M = .08), t(147) = 2.79, </w:t>
      </w:r>
      <w:r w:rsidR="001A5379" w:rsidRPr="00D16B79">
        <w:rPr>
          <w:rFonts w:ascii="Times New Roman" w:eastAsia="Times New Roman" w:hAnsi="Times New Roman"/>
          <w:i/>
          <w:iCs/>
          <w:kern w:val="2"/>
          <w:lang w:val="en-US"/>
          <w14:ligatures w14:val="standardContextual"/>
        </w:rPr>
        <w:t>p</w:t>
      </w:r>
      <w:r w:rsidR="001A5379" w:rsidRPr="00D16B79">
        <w:rPr>
          <w:rFonts w:ascii="Times New Roman" w:eastAsia="Times New Roman" w:hAnsi="Times New Roman"/>
          <w:kern w:val="2"/>
          <w:lang w:val="en-US"/>
          <w14:ligatures w14:val="standardContextual"/>
        </w:rPr>
        <w:t xml:space="preserve"> = .006</w:t>
      </w:r>
      <w:r w:rsidR="001A5000" w:rsidRPr="00D16B79">
        <w:rPr>
          <w:rFonts w:ascii="Times New Roman" w:eastAsia="Times New Roman" w:hAnsi="Times New Roman"/>
          <w:kern w:val="2"/>
          <w:lang w:val="en-US"/>
          <w14:ligatures w14:val="standardContextual"/>
        </w:rPr>
        <w:t>, d = .31</w:t>
      </w:r>
      <w:r w:rsidR="001A5379" w:rsidRPr="00D16B79">
        <w:rPr>
          <w:rFonts w:ascii="Times New Roman" w:eastAsia="Times New Roman" w:hAnsi="Times New Roman"/>
          <w:kern w:val="2"/>
          <w:lang w:val="en-US"/>
          <w14:ligatures w14:val="standardContextual"/>
        </w:rPr>
        <w:t>. In SE, there were no differences in donations to the charity closest to (M = .27) v</w:t>
      </w:r>
      <w:r w:rsidR="00F96A3C" w:rsidRPr="00D16B79">
        <w:rPr>
          <w:rFonts w:ascii="Times New Roman" w:eastAsia="Times New Roman" w:hAnsi="Times New Roman"/>
          <w:kern w:val="2"/>
          <w:lang w:val="en-US"/>
          <w14:ligatures w14:val="standardContextual"/>
        </w:rPr>
        <w:t>ersus</w:t>
      </w:r>
      <w:r w:rsidR="001A5379" w:rsidRPr="00D16B79">
        <w:rPr>
          <w:rFonts w:ascii="Times New Roman" w:eastAsia="Times New Roman" w:hAnsi="Times New Roman"/>
          <w:kern w:val="2"/>
          <w:lang w:val="en-US"/>
          <w14:ligatures w14:val="standardContextual"/>
        </w:rPr>
        <w:t xml:space="preserve"> farthest from (M = .26) its goal,</w:t>
      </w:r>
      <w:r w:rsidR="007863EB" w:rsidRPr="00D16B79">
        <w:rPr>
          <w:rFonts w:ascii="Times New Roman" w:eastAsia="Times New Roman" w:hAnsi="Times New Roman"/>
          <w:kern w:val="2"/>
          <w:lang w:val="en-US"/>
          <w14:ligatures w14:val="standardContextual"/>
        </w:rPr>
        <w:t xml:space="preserve"> t(293) = .38, </w:t>
      </w:r>
      <w:r w:rsidR="007863EB" w:rsidRPr="00D16B79">
        <w:rPr>
          <w:rFonts w:ascii="Times New Roman" w:eastAsia="Times New Roman" w:hAnsi="Times New Roman"/>
          <w:i/>
          <w:iCs/>
          <w:kern w:val="2"/>
          <w:lang w:val="en-US"/>
          <w14:ligatures w14:val="standardContextual"/>
        </w:rPr>
        <w:t>p</w:t>
      </w:r>
      <w:r w:rsidR="007863EB" w:rsidRPr="00D16B79">
        <w:rPr>
          <w:rFonts w:ascii="Times New Roman" w:eastAsia="Times New Roman" w:hAnsi="Times New Roman"/>
          <w:kern w:val="2"/>
          <w:lang w:val="en-US"/>
          <w14:ligatures w14:val="standardContextual"/>
        </w:rPr>
        <w:t xml:space="preserve"> = .71</w:t>
      </w:r>
      <w:r w:rsidR="001A5379" w:rsidRPr="00D16B79">
        <w:rPr>
          <w:rFonts w:ascii="Times New Roman" w:eastAsia="Times New Roman" w:hAnsi="Times New Roman"/>
          <w:kern w:val="2"/>
          <w:lang w:val="en-US"/>
          <w14:ligatures w14:val="standardContextual"/>
        </w:rPr>
        <w:t xml:space="preserve">. </w:t>
      </w:r>
    </w:p>
    <w:p w14:paraId="2EADD086" w14:textId="1F30148E" w:rsidR="006708E8" w:rsidRDefault="001A5379" w:rsidP="006708E8">
      <w:pPr>
        <w:spacing w:line="480" w:lineRule="auto"/>
        <w:ind w:firstLine="720"/>
        <w:rPr>
          <w:rFonts w:ascii="Times New Roman" w:eastAsia="Times New Roman" w:hAnsi="Times New Roman"/>
          <w:kern w:val="2"/>
          <w:lang w:val="en-US"/>
          <w14:ligatures w14:val="standardContextual"/>
        </w:rPr>
      </w:pPr>
      <w:r w:rsidRPr="00D16B79">
        <w:rPr>
          <w:rFonts w:ascii="Times New Roman" w:eastAsia="Times New Roman" w:hAnsi="Times New Roman"/>
          <w:kern w:val="2"/>
          <w:lang w:val="en-US"/>
          <w14:ligatures w14:val="standardContextual"/>
        </w:rPr>
        <w:t xml:space="preserve">Next, we compared the charity farthest from its goal to the charity in the middle. The hybrid t-test </w:t>
      </w:r>
      <w:r w:rsidR="006708E8">
        <w:rPr>
          <w:rFonts w:ascii="Times New Roman" w:eastAsia="Times New Roman" w:hAnsi="Times New Roman"/>
          <w:kern w:val="2"/>
          <w:lang w:val="en-US"/>
          <w14:ligatures w14:val="standardContextual"/>
        </w:rPr>
        <w:t xml:space="preserve">for (ii) </w:t>
      </w:r>
      <w:r w:rsidRPr="00D16B79">
        <w:rPr>
          <w:rFonts w:ascii="Times New Roman" w:eastAsia="Times New Roman" w:hAnsi="Times New Roman"/>
          <w:kern w:val="2"/>
          <w:lang w:val="en-US"/>
          <w14:ligatures w14:val="standardContextual"/>
        </w:rPr>
        <w:t>revealed a significant preference shift in donations between joint and separate evaluation</w:t>
      </w:r>
      <w:r w:rsidR="00CB15BD" w:rsidRPr="00D16B79">
        <w:rPr>
          <w:rFonts w:ascii="Times New Roman" w:eastAsia="Times New Roman" w:hAnsi="Times New Roman"/>
          <w:kern w:val="2"/>
          <w:lang w:val="en-US"/>
          <w14:ligatures w14:val="standardContextual"/>
        </w:rPr>
        <w:t xml:space="preserve"> modes</w:t>
      </w:r>
      <w:r w:rsidRPr="00D16B79">
        <w:rPr>
          <w:rFonts w:ascii="Times New Roman" w:eastAsia="Times New Roman" w:hAnsi="Times New Roman"/>
          <w:kern w:val="2"/>
          <w:lang w:val="en-US"/>
          <w14:ligatures w14:val="standardContextual"/>
        </w:rPr>
        <w:t xml:space="preserve">, t(432) = 3.09,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 .002. </w:t>
      </w:r>
      <w:r w:rsidR="004E56F0">
        <w:rPr>
          <w:rFonts w:ascii="Times New Roman" w:eastAsia="Times New Roman" w:hAnsi="Times New Roman"/>
          <w:kern w:val="2"/>
          <w:lang w:val="en-US"/>
          <w14:ligatures w14:val="standardContextual"/>
        </w:rPr>
        <w:t>P</w:t>
      </w:r>
      <w:r w:rsidRPr="00D16B79">
        <w:rPr>
          <w:rFonts w:ascii="Times New Roman" w:eastAsia="Times New Roman" w:hAnsi="Times New Roman"/>
          <w:kern w:val="2"/>
          <w:lang w:val="en-US"/>
          <w14:ligatures w14:val="standardContextual"/>
        </w:rPr>
        <w:t xml:space="preserve">aired samples t-tests in JE showed that participants donated more to the charity farthest from its goal (M = 0.16) than </w:t>
      </w:r>
      <w:r w:rsidR="00EC1032" w:rsidRPr="00D16B79">
        <w:rPr>
          <w:rFonts w:ascii="Times New Roman" w:eastAsia="Times New Roman" w:hAnsi="Times New Roman"/>
          <w:kern w:val="2"/>
          <w:lang w:val="en-US"/>
          <w14:ligatures w14:val="standardContextual"/>
        </w:rPr>
        <w:t>the charity in the middle</w:t>
      </w:r>
      <w:r w:rsidRPr="00D16B79">
        <w:rPr>
          <w:rFonts w:ascii="Times New Roman" w:eastAsia="Times New Roman" w:hAnsi="Times New Roman"/>
          <w:kern w:val="2"/>
          <w:lang w:val="en-US"/>
          <w14:ligatures w14:val="standardContextual"/>
        </w:rPr>
        <w:t xml:space="preserve"> (M = .08), t(147) = 2.94,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 .00</w:t>
      </w:r>
      <w:r w:rsidR="007863EB" w:rsidRPr="00D16B79">
        <w:rPr>
          <w:rFonts w:ascii="Times New Roman" w:eastAsia="Times New Roman" w:hAnsi="Times New Roman"/>
          <w:kern w:val="2"/>
          <w:lang w:val="en-US"/>
          <w14:ligatures w14:val="standardContextual"/>
        </w:rPr>
        <w:t>4</w:t>
      </w:r>
      <w:r w:rsidR="0043291C" w:rsidRPr="00D16B79">
        <w:rPr>
          <w:rFonts w:ascii="Times New Roman" w:eastAsia="Times New Roman" w:hAnsi="Times New Roman"/>
          <w:kern w:val="2"/>
          <w:lang w:val="en-US"/>
          <w14:ligatures w14:val="standardContextual"/>
        </w:rPr>
        <w:t>, d = .32</w:t>
      </w:r>
      <w:r w:rsidRPr="00D16B79">
        <w:rPr>
          <w:rFonts w:ascii="Times New Roman" w:eastAsia="Times New Roman" w:hAnsi="Times New Roman"/>
          <w:kern w:val="2"/>
          <w:lang w:val="en-US"/>
          <w14:ligatures w14:val="standardContextual"/>
        </w:rPr>
        <w:t xml:space="preserve"> In SE, there were no differences in donations to the charity in the middle (M = .28) v</w:t>
      </w:r>
      <w:r w:rsidR="00FA0DF8" w:rsidRPr="00D16B79">
        <w:rPr>
          <w:rFonts w:ascii="Times New Roman" w:eastAsia="Times New Roman" w:hAnsi="Times New Roman"/>
          <w:kern w:val="2"/>
          <w:lang w:val="en-US"/>
          <w14:ligatures w14:val="standardContextual"/>
        </w:rPr>
        <w:t>ersus</w:t>
      </w:r>
      <w:r w:rsidRPr="00D16B79">
        <w:rPr>
          <w:rFonts w:ascii="Times New Roman" w:eastAsia="Times New Roman" w:hAnsi="Times New Roman"/>
          <w:kern w:val="2"/>
          <w:lang w:val="en-US"/>
          <w14:ligatures w14:val="standardContextual"/>
        </w:rPr>
        <w:t xml:space="preserve"> farthest from its goal, </w:t>
      </w:r>
      <w:r w:rsidR="007863EB" w:rsidRPr="00D16B79">
        <w:rPr>
          <w:rFonts w:ascii="Times New Roman" w:eastAsia="Times New Roman" w:hAnsi="Times New Roman"/>
          <w:kern w:val="2"/>
          <w:lang w:val="en-US"/>
          <w14:ligatures w14:val="standardContextual"/>
        </w:rPr>
        <w:t xml:space="preserve">t(284) = .83, </w:t>
      </w:r>
      <w:r w:rsidR="007863EB" w:rsidRPr="00D16B79">
        <w:rPr>
          <w:rFonts w:ascii="Times New Roman" w:eastAsia="Times New Roman" w:hAnsi="Times New Roman"/>
          <w:i/>
          <w:iCs/>
          <w:kern w:val="2"/>
          <w:lang w:val="en-US"/>
          <w14:ligatures w14:val="standardContextual"/>
        </w:rPr>
        <w:t>p</w:t>
      </w:r>
      <w:r w:rsidR="007863EB" w:rsidRPr="00D16B79">
        <w:rPr>
          <w:rFonts w:ascii="Times New Roman" w:eastAsia="Times New Roman" w:hAnsi="Times New Roman"/>
          <w:kern w:val="2"/>
          <w:lang w:val="en-US"/>
          <w14:ligatures w14:val="standardContextual"/>
        </w:rPr>
        <w:t xml:space="preserve"> = .41</w:t>
      </w:r>
      <w:r w:rsidRPr="00D16B79">
        <w:rPr>
          <w:rFonts w:ascii="Times New Roman" w:eastAsia="Times New Roman" w:hAnsi="Times New Roman"/>
          <w:kern w:val="2"/>
          <w:lang w:val="en-US"/>
          <w14:ligatures w14:val="standardContextual"/>
        </w:rPr>
        <w:t>.</w:t>
      </w:r>
    </w:p>
    <w:p w14:paraId="2E23D9DE" w14:textId="788399CE" w:rsidR="008F304A" w:rsidRPr="00D16B79" w:rsidRDefault="008F304A" w:rsidP="00A83504">
      <w:pPr>
        <w:spacing w:line="480" w:lineRule="auto"/>
        <w:ind w:firstLine="720"/>
        <w:rPr>
          <w:rFonts w:ascii="Times New Roman" w:eastAsia="Times New Roman" w:hAnsi="Times New Roman"/>
          <w:kern w:val="2"/>
          <w:lang w:val="en-US"/>
          <w14:ligatures w14:val="standardContextual"/>
        </w:rPr>
      </w:pPr>
      <w:r w:rsidRPr="00D16B79">
        <w:rPr>
          <w:rFonts w:ascii="Times New Roman" w:eastAsia="Times New Roman" w:hAnsi="Times New Roman"/>
          <w:i/>
          <w:kern w:val="2"/>
          <w:lang w:val="en-US"/>
          <w14:ligatures w14:val="standardContextual"/>
        </w:rPr>
        <w:lastRenderedPageBreak/>
        <w:t>Need</w:t>
      </w:r>
      <w:r w:rsidRPr="00D16B79">
        <w:rPr>
          <w:rFonts w:ascii="Times New Roman" w:eastAsia="Times New Roman" w:hAnsi="Times New Roman"/>
          <w:kern w:val="2"/>
          <w:lang w:val="en-US"/>
          <w14:ligatures w14:val="standardContextual"/>
        </w:rPr>
        <w:t>. Next</w:t>
      </w:r>
      <w:r w:rsidR="00C1792F" w:rsidRPr="00D16B79">
        <w:rPr>
          <w:rFonts w:ascii="Times New Roman" w:eastAsia="Times New Roman" w:hAnsi="Times New Roman"/>
          <w:kern w:val="2"/>
          <w:lang w:val="en-US"/>
          <w14:ligatures w14:val="standardContextual"/>
        </w:rPr>
        <w:t>,</w:t>
      </w:r>
      <w:r w:rsidRPr="00D16B79">
        <w:rPr>
          <w:rFonts w:ascii="Times New Roman" w:eastAsia="Times New Roman" w:hAnsi="Times New Roman"/>
          <w:kern w:val="2"/>
          <w:lang w:val="en-US"/>
          <w14:ligatures w14:val="standardContextual"/>
        </w:rPr>
        <w:t xml:space="preserve"> we looked at participants</w:t>
      </w:r>
      <w:r w:rsidR="00FA0DF8" w:rsidRPr="00D16B79">
        <w:rPr>
          <w:rFonts w:ascii="Times New Roman" w:eastAsia="Times New Roman" w:hAnsi="Times New Roman"/>
          <w:kern w:val="2"/>
          <w:lang w:val="en-US"/>
          <w14:ligatures w14:val="standardContextual"/>
        </w:rPr>
        <w:t>’</w:t>
      </w:r>
      <w:r w:rsidRPr="00D16B79">
        <w:rPr>
          <w:rFonts w:ascii="Times New Roman" w:eastAsia="Times New Roman" w:hAnsi="Times New Roman"/>
          <w:kern w:val="2"/>
          <w:lang w:val="en-US"/>
          <w14:ligatures w14:val="standardContextual"/>
        </w:rPr>
        <w:t xml:space="preserve"> perceptions of need for each of the charities. As the study included a </w:t>
      </w:r>
      <w:r w:rsidR="00EC1032" w:rsidRPr="00D16B79">
        <w:rPr>
          <w:rFonts w:ascii="Times New Roman" w:eastAsia="Times New Roman" w:hAnsi="Times New Roman"/>
          <w:kern w:val="2"/>
          <w:lang w:val="en-US"/>
          <w14:ligatures w14:val="standardContextual"/>
        </w:rPr>
        <w:t xml:space="preserve">nominal </w:t>
      </w:r>
      <w:r w:rsidRPr="00D16B79">
        <w:rPr>
          <w:rFonts w:ascii="Times New Roman" w:eastAsia="Times New Roman" w:hAnsi="Times New Roman"/>
          <w:kern w:val="2"/>
          <w:lang w:val="en-US"/>
          <w14:ligatures w14:val="standardContextual"/>
        </w:rPr>
        <w:t xml:space="preserve">choice </w:t>
      </w:r>
      <w:r w:rsidR="00EC1032" w:rsidRPr="00D16B79">
        <w:rPr>
          <w:rFonts w:ascii="Times New Roman" w:eastAsia="Times New Roman" w:hAnsi="Times New Roman"/>
          <w:kern w:val="2"/>
          <w:lang w:val="en-US"/>
          <w14:ligatures w14:val="standardContextual"/>
        </w:rPr>
        <w:t xml:space="preserve">between four options (in JE) or two options (in SE) </w:t>
      </w:r>
      <w:r w:rsidRPr="00D16B79">
        <w:rPr>
          <w:rFonts w:ascii="Times New Roman" w:eastAsia="Times New Roman" w:hAnsi="Times New Roman"/>
          <w:kern w:val="2"/>
          <w:lang w:val="en-US"/>
          <w14:ligatures w14:val="standardContextual"/>
        </w:rPr>
        <w:t>as the dependent variable, traditional mediation analysis was not appropriate</w:t>
      </w:r>
      <w:r w:rsidR="00645E1C" w:rsidRPr="00D16B79">
        <w:rPr>
          <w:rFonts w:ascii="Times New Roman" w:eastAsia="Times New Roman" w:hAnsi="Times New Roman"/>
          <w:kern w:val="2"/>
          <w:lang w:val="en-US"/>
          <w14:ligatures w14:val="standardContextual"/>
        </w:rPr>
        <w:t>,</w:t>
      </w:r>
      <w:r w:rsidRPr="00D16B79">
        <w:rPr>
          <w:rFonts w:ascii="Times New Roman" w:eastAsia="Times New Roman" w:hAnsi="Times New Roman"/>
          <w:kern w:val="2"/>
          <w:lang w:val="en-US"/>
          <w14:ligatures w14:val="standardContextual"/>
        </w:rPr>
        <w:t xml:space="preserve"> and instead we analyzed differences in the gap in perceptions of need between the project farthest and closest to the goal in joint and separate evaluation. In joint evaluation, participants perceived the charity farther from its goal (M = 5.92) to be more in need than the one closest to its goal (M = 4.70), </w:t>
      </w:r>
      <w:proofErr w:type="spellStart"/>
      <w:r w:rsidRPr="00D16B79">
        <w:rPr>
          <w:rFonts w:ascii="Times New Roman" w:eastAsia="Times New Roman" w:hAnsi="Times New Roman"/>
          <w:kern w:val="2"/>
          <w:lang w:val="en-US"/>
          <w14:ligatures w14:val="standardContextual"/>
        </w:rPr>
        <w:t>M</w:t>
      </w:r>
      <w:r w:rsidRPr="00D16B79">
        <w:rPr>
          <w:rFonts w:ascii="Times New Roman" w:eastAsia="Times New Roman" w:hAnsi="Times New Roman"/>
          <w:kern w:val="2"/>
          <w:vertAlign w:val="subscript"/>
          <w:lang w:val="en-US"/>
          <w14:ligatures w14:val="standardContextual"/>
        </w:rPr>
        <w:t>diff</w:t>
      </w:r>
      <w:proofErr w:type="spellEnd"/>
      <w:r w:rsidRPr="00D16B79">
        <w:rPr>
          <w:rFonts w:ascii="Times New Roman" w:eastAsia="Times New Roman" w:hAnsi="Times New Roman"/>
          <w:kern w:val="2"/>
          <w:lang w:val="en-US"/>
          <w14:ligatures w14:val="standardContextual"/>
        </w:rPr>
        <w:t xml:space="preserve"> = 1.22, t(147) = 6.14,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&lt; .001. In separate evaluation, participants did not perceive </w:t>
      </w:r>
      <w:r w:rsidR="00E772C8" w:rsidRPr="00D16B79">
        <w:rPr>
          <w:rFonts w:ascii="Times New Roman" w:eastAsia="Times New Roman" w:hAnsi="Times New Roman"/>
          <w:kern w:val="2"/>
          <w:lang w:val="en-US"/>
          <w14:ligatures w14:val="standardContextual"/>
        </w:rPr>
        <w:t>a</w:t>
      </w:r>
      <w:r w:rsidR="00E772C8">
        <w:rPr>
          <w:rFonts w:ascii="Times New Roman" w:eastAsia="Times New Roman" w:hAnsi="Times New Roman"/>
          <w:kern w:val="2"/>
          <w:lang w:val="en-US"/>
          <w14:ligatures w14:val="standardContextual"/>
        </w:rPr>
        <w:t xml:space="preserve"> significant</w:t>
      </w:r>
      <w:r w:rsidR="00E772C8" w:rsidRPr="00D16B79">
        <w:rPr>
          <w:rFonts w:ascii="Times New Roman" w:eastAsia="Times New Roman" w:hAnsi="Times New Roman"/>
          <w:kern w:val="2"/>
          <w:lang w:val="en-US"/>
          <w14:ligatures w14:val="standardContextual"/>
        </w:rPr>
        <w:t xml:space="preserve"> </w:t>
      </w:r>
      <w:r w:rsidRPr="00D16B79">
        <w:rPr>
          <w:rFonts w:ascii="Times New Roman" w:eastAsia="Times New Roman" w:hAnsi="Times New Roman"/>
          <w:kern w:val="2"/>
          <w:lang w:val="en-US"/>
          <w14:ligatures w14:val="standardContextual"/>
        </w:rPr>
        <w:t>difference in need between the charity farthe</w:t>
      </w:r>
      <w:r w:rsidR="00C1792F" w:rsidRPr="00D16B79">
        <w:rPr>
          <w:rFonts w:ascii="Times New Roman" w:eastAsia="Times New Roman" w:hAnsi="Times New Roman"/>
          <w:kern w:val="2"/>
          <w:lang w:val="en-US"/>
          <w14:ligatures w14:val="standardContextual"/>
        </w:rPr>
        <w:t>st</w:t>
      </w:r>
      <w:r w:rsidRPr="00D16B79">
        <w:rPr>
          <w:rFonts w:ascii="Times New Roman" w:eastAsia="Times New Roman" w:hAnsi="Times New Roman"/>
          <w:kern w:val="2"/>
          <w:lang w:val="en-US"/>
          <w14:ligatures w14:val="standardContextual"/>
        </w:rPr>
        <w:t xml:space="preserve"> from its goal (M = 5.84) </w:t>
      </w:r>
      <w:r w:rsidR="00E772C8">
        <w:rPr>
          <w:rFonts w:ascii="Times New Roman" w:eastAsia="Times New Roman" w:hAnsi="Times New Roman"/>
          <w:kern w:val="2"/>
          <w:lang w:val="en-US"/>
          <w14:ligatures w14:val="standardContextual"/>
        </w:rPr>
        <w:t>versus</w:t>
      </w:r>
      <w:r w:rsidR="00E772C8" w:rsidRPr="00D16B79">
        <w:rPr>
          <w:rFonts w:ascii="Times New Roman" w:eastAsia="Times New Roman" w:hAnsi="Times New Roman"/>
          <w:kern w:val="2"/>
          <w:lang w:val="en-US"/>
          <w14:ligatures w14:val="standardContextual"/>
        </w:rPr>
        <w:t xml:space="preserve"> </w:t>
      </w:r>
      <w:r w:rsidRPr="00D16B79">
        <w:rPr>
          <w:rFonts w:ascii="Times New Roman" w:eastAsia="Times New Roman" w:hAnsi="Times New Roman"/>
          <w:kern w:val="2"/>
          <w:lang w:val="en-US"/>
          <w14:ligatures w14:val="standardContextual"/>
        </w:rPr>
        <w:t xml:space="preserve">the one closest to its goal (M = 5.59), </w:t>
      </w:r>
      <w:proofErr w:type="spellStart"/>
      <w:r w:rsidRPr="00D16B79">
        <w:rPr>
          <w:rFonts w:ascii="Times New Roman" w:eastAsia="Times New Roman" w:hAnsi="Times New Roman"/>
          <w:kern w:val="2"/>
          <w:lang w:val="en-US"/>
          <w14:ligatures w14:val="standardContextual"/>
        </w:rPr>
        <w:t>M</w:t>
      </w:r>
      <w:r w:rsidRPr="00D16B79">
        <w:rPr>
          <w:rFonts w:ascii="Times New Roman" w:eastAsia="Times New Roman" w:hAnsi="Times New Roman"/>
          <w:kern w:val="2"/>
          <w:vertAlign w:val="subscript"/>
          <w:lang w:val="en-US"/>
          <w14:ligatures w14:val="standardContextual"/>
        </w:rPr>
        <w:t>diff</w:t>
      </w:r>
      <w:proofErr w:type="spellEnd"/>
      <w:r w:rsidRPr="00D16B79">
        <w:rPr>
          <w:rFonts w:ascii="Times New Roman" w:eastAsia="Times New Roman" w:hAnsi="Times New Roman"/>
          <w:kern w:val="2"/>
          <w:lang w:val="en-US"/>
          <w14:ligatures w14:val="standardContextual"/>
        </w:rPr>
        <w:t xml:space="preserve"> = 0.25, t(293) = 1.50,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 .14.</w:t>
      </w:r>
    </w:p>
    <w:p w14:paraId="3069D5BE" w14:textId="73C05839" w:rsidR="008F304A" w:rsidRPr="00D16B79" w:rsidRDefault="008F304A" w:rsidP="00A83504">
      <w:pPr>
        <w:spacing w:line="480" w:lineRule="auto"/>
        <w:ind w:firstLine="720"/>
        <w:rPr>
          <w:rFonts w:ascii="Times New Roman" w:eastAsia="Times New Roman" w:hAnsi="Times New Roman"/>
          <w:kern w:val="2"/>
          <w:lang w:val="en-US"/>
          <w14:ligatures w14:val="standardContextual"/>
        </w:rPr>
      </w:pPr>
      <w:r w:rsidRPr="00D16B79">
        <w:rPr>
          <w:rFonts w:ascii="Times New Roman" w:eastAsia="Times New Roman" w:hAnsi="Times New Roman"/>
          <w:kern w:val="2"/>
          <w:lang w:val="en-US"/>
          <w14:ligatures w14:val="standardContextual"/>
        </w:rPr>
        <w:t>In addition, we looked at assessments of evaluability and justifiability. Participants found it equally easy to evaluate need for the project farthest from its goal in joint (M = 4.52) and separate (M = 4.65) evaluation</w:t>
      </w:r>
      <w:r w:rsidR="00CB15BD" w:rsidRPr="00D16B79">
        <w:rPr>
          <w:rFonts w:ascii="Times New Roman" w:eastAsia="Times New Roman" w:hAnsi="Times New Roman"/>
          <w:kern w:val="2"/>
          <w:lang w:val="en-US"/>
          <w14:ligatures w14:val="standardContextual"/>
        </w:rPr>
        <w:t xml:space="preserve"> modes</w:t>
      </w:r>
      <w:r w:rsidRPr="00D16B79">
        <w:rPr>
          <w:rFonts w:ascii="Times New Roman" w:eastAsia="Times New Roman" w:hAnsi="Times New Roman"/>
          <w:kern w:val="2"/>
          <w:lang w:val="en-US"/>
          <w14:ligatures w14:val="standardContextual"/>
        </w:rPr>
        <w:t xml:space="preserve">, t(288) = .58,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 .56. Participants also found it equally easy to evaluate need for the project in the middle in joint (M = 4.71) and separate (M = 4.53) evaluation, t(282) = .82,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 .41. However, participants found it easier to evaluate need for the project closest to its goal in joint </w:t>
      </w:r>
      <w:r w:rsidR="00CB15BD" w:rsidRPr="00D16B79">
        <w:rPr>
          <w:rFonts w:ascii="Times New Roman" w:eastAsia="Times New Roman" w:hAnsi="Times New Roman"/>
          <w:kern w:val="2"/>
          <w:lang w:val="en-US"/>
          <w14:ligatures w14:val="standardContextual"/>
        </w:rPr>
        <w:t xml:space="preserve">evaluation </w:t>
      </w:r>
      <w:r w:rsidRPr="00D16B79">
        <w:rPr>
          <w:rFonts w:ascii="Times New Roman" w:eastAsia="Times New Roman" w:hAnsi="Times New Roman"/>
          <w:kern w:val="2"/>
          <w:lang w:val="en-US"/>
          <w14:ligatures w14:val="standardContextual"/>
        </w:rPr>
        <w:t xml:space="preserve">(M = 4.95) compared to separate (M = 4.41) evaluation, t(297) = 2.39, </w:t>
      </w:r>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 xml:space="preserve"> = .02. Across all conditions, need was seen as equally justifiable in joint and separate evaluation, all </w:t>
      </w:r>
      <w:proofErr w:type="spellStart"/>
      <w:r w:rsidRPr="00D16B79">
        <w:rPr>
          <w:rFonts w:ascii="Times New Roman" w:eastAsia="Times New Roman" w:hAnsi="Times New Roman"/>
          <w:i/>
          <w:iCs/>
          <w:kern w:val="2"/>
          <w:lang w:val="en-US"/>
          <w14:ligatures w14:val="standardContextual"/>
        </w:rPr>
        <w:t>p</w:t>
      </w:r>
      <w:r w:rsidRPr="00D16B79">
        <w:rPr>
          <w:rFonts w:ascii="Times New Roman" w:eastAsia="Times New Roman" w:hAnsi="Times New Roman"/>
          <w:kern w:val="2"/>
          <w:lang w:val="en-US"/>
          <w14:ligatures w14:val="standardContextual"/>
        </w:rPr>
        <w:t>s</w:t>
      </w:r>
      <w:proofErr w:type="spellEnd"/>
      <w:r w:rsidRPr="00D16B79">
        <w:rPr>
          <w:rFonts w:ascii="Times New Roman" w:eastAsia="Times New Roman" w:hAnsi="Times New Roman"/>
          <w:kern w:val="2"/>
          <w:lang w:val="en-US"/>
          <w14:ligatures w14:val="standardContextual"/>
        </w:rPr>
        <w:t xml:space="preserve"> &gt; .</w:t>
      </w:r>
      <w:r w:rsidR="001D77D3" w:rsidRPr="00D16B79">
        <w:rPr>
          <w:rFonts w:ascii="Times New Roman" w:eastAsia="Times New Roman" w:hAnsi="Times New Roman"/>
          <w:kern w:val="2"/>
          <w:lang w:val="en-US"/>
          <w14:ligatures w14:val="standardContextual"/>
        </w:rPr>
        <w:t>19</w:t>
      </w:r>
      <w:r w:rsidRPr="00D16B79">
        <w:rPr>
          <w:rFonts w:ascii="Times New Roman" w:eastAsia="Times New Roman" w:hAnsi="Times New Roman"/>
          <w:kern w:val="2"/>
          <w:lang w:val="en-US"/>
          <w14:ligatures w14:val="standardContextual"/>
        </w:rPr>
        <w:t>.</w:t>
      </w:r>
    </w:p>
    <w:p w14:paraId="188A4233" w14:textId="0B1A54A1" w:rsidR="009A27A3" w:rsidRPr="00D16B79" w:rsidRDefault="009A27A3" w:rsidP="009A27A3">
      <w:pPr>
        <w:pStyle w:val="Heading2"/>
        <w:rPr>
          <w:rFonts w:eastAsia="Calibri"/>
          <w:lang w:eastAsia="en-US"/>
        </w:rPr>
      </w:pPr>
      <w:r w:rsidRPr="00D16B79">
        <w:rPr>
          <w:rFonts w:eastAsia="Calibri"/>
          <w:lang w:eastAsia="en-US"/>
        </w:rPr>
        <w:t>Discussion</w:t>
      </w:r>
    </w:p>
    <w:p w14:paraId="46A0BAF4" w14:textId="5E11077E" w:rsidR="00AD3415" w:rsidRPr="00D16B79" w:rsidRDefault="000434D4" w:rsidP="00F43F60">
      <w:pPr>
        <w:spacing w:line="480" w:lineRule="auto"/>
        <w:ind w:firstLine="720"/>
        <w:rPr>
          <w:lang w:val="en-US" w:eastAsia="en-US"/>
        </w:rPr>
      </w:pPr>
      <w:r w:rsidRPr="00D16B79">
        <w:rPr>
          <w:lang w:val="en-US" w:eastAsia="en-US"/>
        </w:rPr>
        <w:t>Study 3 provides further support for our prediction that consumers give more to a charit</w:t>
      </w:r>
      <w:r w:rsidR="00191D57" w:rsidRPr="00D16B79">
        <w:rPr>
          <w:lang w:val="en-US" w:eastAsia="en-US"/>
        </w:rPr>
        <w:t xml:space="preserve">able project </w:t>
      </w:r>
      <w:r w:rsidRPr="00D16B79">
        <w:rPr>
          <w:lang w:val="en-US" w:eastAsia="en-US"/>
        </w:rPr>
        <w:t>f</w:t>
      </w:r>
      <w:r w:rsidR="00C572D0" w:rsidRPr="00D16B79">
        <w:rPr>
          <w:lang w:val="en-US" w:eastAsia="en-US"/>
        </w:rPr>
        <w:t>a</w:t>
      </w:r>
      <w:r w:rsidRPr="00D16B79">
        <w:rPr>
          <w:lang w:val="en-US" w:eastAsia="en-US"/>
        </w:rPr>
        <w:t>rther from its goal compared to one closer to its goal in joint evaluation</w:t>
      </w:r>
      <w:r w:rsidR="00191D57" w:rsidRPr="00D16B79">
        <w:rPr>
          <w:lang w:val="en-US" w:eastAsia="en-US"/>
        </w:rPr>
        <w:t>, but not in separate evaluation</w:t>
      </w:r>
      <w:r w:rsidRPr="00D16B79">
        <w:rPr>
          <w:lang w:val="en-US" w:eastAsia="en-US"/>
        </w:rPr>
        <w:t xml:space="preserve">. </w:t>
      </w:r>
      <w:r w:rsidR="000D2A73" w:rsidRPr="00D16B79">
        <w:rPr>
          <w:lang w:val="en-US" w:eastAsia="en-US"/>
        </w:rPr>
        <w:t xml:space="preserve">This finding remains robust to having three causes in the decision set. </w:t>
      </w:r>
      <w:r w:rsidR="00A23119" w:rsidRPr="00D16B79">
        <w:rPr>
          <w:lang w:val="en-US" w:eastAsia="en-US"/>
        </w:rPr>
        <w:t xml:space="preserve">This study also shows that the effect holds for consequential decisions involving </w:t>
      </w:r>
      <w:r w:rsidR="00191D57" w:rsidRPr="00D16B79">
        <w:rPr>
          <w:lang w:val="en-US" w:eastAsia="en-US"/>
        </w:rPr>
        <w:t xml:space="preserve">allocating real money to the </w:t>
      </w:r>
      <w:proofErr w:type="spellStart"/>
      <w:r w:rsidR="00191D57" w:rsidRPr="00D16B79">
        <w:rPr>
          <w:lang w:val="en-US" w:eastAsia="en-US"/>
        </w:rPr>
        <w:t>self versus</w:t>
      </w:r>
      <w:proofErr w:type="spellEnd"/>
      <w:r w:rsidR="00191D57" w:rsidRPr="00D16B79">
        <w:rPr>
          <w:lang w:val="en-US" w:eastAsia="en-US"/>
        </w:rPr>
        <w:t xml:space="preserve"> a cause</w:t>
      </w:r>
      <w:r w:rsidR="00A23119" w:rsidRPr="00D16B79">
        <w:rPr>
          <w:lang w:val="en-US" w:eastAsia="en-US"/>
        </w:rPr>
        <w:t xml:space="preserve">. </w:t>
      </w:r>
      <w:r w:rsidR="000D2A73" w:rsidRPr="00D16B79">
        <w:rPr>
          <w:lang w:val="en-US" w:eastAsia="en-US"/>
        </w:rPr>
        <w:t xml:space="preserve">Consistent with </w:t>
      </w:r>
      <w:r w:rsidR="008F304A" w:rsidRPr="00D16B79">
        <w:rPr>
          <w:lang w:val="en-US" w:eastAsia="en-US"/>
        </w:rPr>
        <w:t>Study 2</w:t>
      </w:r>
      <w:r w:rsidR="000D2A73" w:rsidRPr="00D16B79">
        <w:rPr>
          <w:lang w:val="en-US" w:eastAsia="en-US"/>
        </w:rPr>
        <w:t>, Study 3 shows</w:t>
      </w:r>
      <w:r w:rsidR="00A23119" w:rsidRPr="00D16B79">
        <w:rPr>
          <w:lang w:val="en-US" w:eastAsia="en-US"/>
        </w:rPr>
        <w:t xml:space="preserve"> that </w:t>
      </w:r>
      <w:r w:rsidR="008F304A" w:rsidRPr="00D16B79">
        <w:rPr>
          <w:lang w:val="en-US" w:eastAsia="en-US"/>
        </w:rPr>
        <w:t xml:space="preserve">perceptions of </w:t>
      </w:r>
      <w:r w:rsidR="00A23119" w:rsidRPr="00D16B79">
        <w:rPr>
          <w:lang w:val="en-US" w:eastAsia="en-US"/>
        </w:rPr>
        <w:lastRenderedPageBreak/>
        <w:t xml:space="preserve">need </w:t>
      </w:r>
      <w:r w:rsidR="000D2A73" w:rsidRPr="00D16B79">
        <w:rPr>
          <w:lang w:val="en-US" w:eastAsia="en-US"/>
        </w:rPr>
        <w:t>are heightened</w:t>
      </w:r>
      <w:r w:rsidR="00201437" w:rsidRPr="00D16B79">
        <w:rPr>
          <w:lang w:val="en-US" w:eastAsia="en-US"/>
        </w:rPr>
        <w:t xml:space="preserve"> in</w:t>
      </w:r>
      <w:r w:rsidR="008F304A" w:rsidRPr="00D16B79">
        <w:rPr>
          <w:lang w:val="en-US" w:eastAsia="en-US"/>
        </w:rPr>
        <w:t xml:space="preserve"> joint</w:t>
      </w:r>
      <w:r w:rsidR="000D2A73" w:rsidRPr="00D16B79">
        <w:rPr>
          <w:lang w:val="en-US" w:eastAsia="en-US"/>
        </w:rPr>
        <w:t xml:space="preserve"> (vs.</w:t>
      </w:r>
      <w:r w:rsidR="008F304A" w:rsidRPr="00D16B79">
        <w:rPr>
          <w:lang w:val="en-US" w:eastAsia="en-US"/>
        </w:rPr>
        <w:t xml:space="preserve"> separate</w:t>
      </w:r>
      <w:r w:rsidR="000D2A73" w:rsidRPr="00D16B79">
        <w:rPr>
          <w:lang w:val="en-US" w:eastAsia="en-US"/>
        </w:rPr>
        <w:t>)</w:t>
      </w:r>
      <w:r w:rsidR="008F304A" w:rsidRPr="00D16B79">
        <w:rPr>
          <w:lang w:val="en-US" w:eastAsia="en-US"/>
        </w:rPr>
        <w:t xml:space="preserve"> evaluation</w:t>
      </w:r>
      <w:r w:rsidR="000D2A73" w:rsidRPr="00D16B79">
        <w:rPr>
          <w:lang w:val="en-US" w:eastAsia="en-US"/>
        </w:rPr>
        <w:t xml:space="preserve">. Moreover, </w:t>
      </w:r>
      <w:r w:rsidR="00BC235E" w:rsidRPr="00D16B79">
        <w:rPr>
          <w:lang w:val="en-US" w:eastAsia="en-US"/>
        </w:rPr>
        <w:t xml:space="preserve">our results suggest that </w:t>
      </w:r>
      <w:r w:rsidR="000D2A73" w:rsidRPr="00D16B79">
        <w:rPr>
          <w:lang w:val="en-US" w:eastAsia="en-US"/>
        </w:rPr>
        <w:t xml:space="preserve">this may be due to </w:t>
      </w:r>
      <w:r w:rsidR="00BC235E" w:rsidRPr="00D16B79">
        <w:rPr>
          <w:lang w:val="en-US" w:eastAsia="en-US"/>
        </w:rPr>
        <w:t xml:space="preserve">need </w:t>
      </w:r>
      <w:r w:rsidR="008F304A" w:rsidRPr="00D16B79">
        <w:rPr>
          <w:lang w:val="en-US" w:eastAsia="en-US"/>
        </w:rPr>
        <w:t xml:space="preserve">being easier to </w:t>
      </w:r>
      <w:r w:rsidR="00B16030" w:rsidRPr="00D16B79">
        <w:rPr>
          <w:lang w:val="en-US" w:eastAsia="en-US"/>
        </w:rPr>
        <w:t>evaluate</w:t>
      </w:r>
      <w:r w:rsidR="00C572D0" w:rsidRPr="00D16B79">
        <w:rPr>
          <w:lang w:val="en-US" w:eastAsia="en-US"/>
        </w:rPr>
        <w:t xml:space="preserve"> </w:t>
      </w:r>
      <w:r w:rsidR="008F304A" w:rsidRPr="00D16B79">
        <w:rPr>
          <w:lang w:val="en-US" w:eastAsia="en-US"/>
        </w:rPr>
        <w:t>in joint evaluation</w:t>
      </w:r>
      <w:r w:rsidR="00191D57" w:rsidRPr="00D16B79">
        <w:rPr>
          <w:lang w:val="en-US" w:eastAsia="en-US"/>
        </w:rPr>
        <w:t xml:space="preserve">. </w:t>
      </w:r>
    </w:p>
    <w:p w14:paraId="61C1989F" w14:textId="3351026F" w:rsidR="008F304A" w:rsidRDefault="008F304A" w:rsidP="00201437">
      <w:pPr>
        <w:spacing w:line="480" w:lineRule="auto"/>
        <w:ind w:firstLine="720"/>
        <w:rPr>
          <w:rFonts w:asciiTheme="majorHAnsi" w:hAnsiTheme="majorHAnsi" w:cstheme="majorHAnsi"/>
          <w:iCs/>
          <w:lang w:val="en-US"/>
        </w:rPr>
      </w:pPr>
      <w:r w:rsidRPr="00D16B79">
        <w:rPr>
          <w:rFonts w:asciiTheme="majorHAnsi" w:hAnsiTheme="majorHAnsi" w:cstheme="majorHAnsi"/>
          <w:lang w:val="en-US"/>
        </w:rPr>
        <w:t xml:space="preserve">In Supplemental Study </w:t>
      </w:r>
      <w:r w:rsidR="005846CD" w:rsidRPr="00D16B79">
        <w:rPr>
          <w:rFonts w:asciiTheme="majorHAnsi" w:hAnsiTheme="majorHAnsi" w:cstheme="majorHAnsi"/>
          <w:lang w:val="en-US"/>
        </w:rPr>
        <w:t>S</w:t>
      </w:r>
      <w:r w:rsidRPr="00D16B79">
        <w:rPr>
          <w:rFonts w:asciiTheme="majorHAnsi" w:hAnsiTheme="majorHAnsi" w:cstheme="majorHAnsi"/>
          <w:lang w:val="en-US"/>
        </w:rPr>
        <w:t xml:space="preserve">3 (see Web Appendix C), </w:t>
      </w:r>
      <w:r w:rsidRPr="00D16B79">
        <w:rPr>
          <w:rFonts w:ascii="Times New Roman" w:eastAsia="Times New Roman" w:hAnsi="Times New Roman"/>
          <w:iCs/>
          <w:kern w:val="2"/>
          <w:lang w:val="en-US"/>
          <w14:ligatures w14:val="standardContextual"/>
        </w:rPr>
        <w:t xml:space="preserve">we test the robustness of presenting three charities </w:t>
      </w:r>
      <w:r w:rsidR="00B16030" w:rsidRPr="00D16B79">
        <w:rPr>
          <w:rFonts w:ascii="Times New Roman" w:eastAsia="Times New Roman" w:hAnsi="Times New Roman"/>
          <w:iCs/>
          <w:kern w:val="2"/>
          <w:lang w:val="en-US"/>
          <w14:ligatures w14:val="standardContextual"/>
        </w:rPr>
        <w:t>by varying</w:t>
      </w:r>
      <w:r w:rsidR="00201437" w:rsidRPr="00D16B79">
        <w:rPr>
          <w:rFonts w:ascii="Times New Roman" w:eastAsia="Times New Roman" w:hAnsi="Times New Roman"/>
          <w:iCs/>
          <w:kern w:val="2"/>
          <w:lang w:val="en-US"/>
          <w14:ligatures w14:val="standardContextual"/>
        </w:rPr>
        <w:t xml:space="preserve"> the </w:t>
      </w:r>
      <w:r w:rsidRPr="00D16B79">
        <w:rPr>
          <w:rFonts w:ascii="Times New Roman" w:eastAsia="Times New Roman" w:hAnsi="Times New Roman"/>
          <w:iCs/>
          <w:kern w:val="2"/>
          <w:lang w:val="en-US"/>
          <w14:ligatures w14:val="standardContextual"/>
        </w:rPr>
        <w:t>progress of the project in the middle in a 3 factor</w:t>
      </w:r>
      <w:r w:rsidR="00EA2443" w:rsidRPr="00D16B79">
        <w:rPr>
          <w:rFonts w:ascii="Times New Roman" w:eastAsia="Times New Roman" w:hAnsi="Times New Roman"/>
          <w:iCs/>
          <w:kern w:val="2"/>
          <w:lang w:val="en-US"/>
          <w14:ligatures w14:val="standardContextual"/>
        </w:rPr>
        <w:t xml:space="preserve"> between-subjects design</w:t>
      </w:r>
      <w:r w:rsidRPr="00D16B79">
        <w:rPr>
          <w:rFonts w:ascii="Times New Roman" w:eastAsia="Times New Roman" w:hAnsi="Times New Roman"/>
          <w:iCs/>
          <w:kern w:val="2"/>
          <w:lang w:val="en-US"/>
          <w14:ligatures w14:val="standardContextual"/>
        </w:rPr>
        <w:t xml:space="preserve"> (Middle project progress: low 20% vs. medium 50% vs. high 80% progress). </w:t>
      </w:r>
      <w:r w:rsidR="00201437" w:rsidRPr="00D16B79">
        <w:rPr>
          <w:rFonts w:ascii="Times New Roman" w:eastAsia="Times New Roman" w:hAnsi="Times New Roman"/>
          <w:iCs/>
          <w:kern w:val="2"/>
          <w:lang w:val="en-US"/>
          <w14:ligatures w14:val="standardContextual"/>
        </w:rPr>
        <w:t xml:space="preserve">We find that </w:t>
      </w:r>
      <w:r w:rsidR="00B16030" w:rsidRPr="00D16B79">
        <w:rPr>
          <w:rFonts w:ascii="Times New Roman" w:eastAsia="Times New Roman" w:hAnsi="Times New Roman"/>
          <w:iCs/>
          <w:kern w:val="2"/>
          <w:lang w:val="en-US"/>
          <w14:ligatures w14:val="standardContextual"/>
        </w:rPr>
        <w:t>in</w:t>
      </w:r>
      <w:r w:rsidR="00201437" w:rsidRPr="00D16B79">
        <w:rPr>
          <w:rFonts w:ascii="Times New Roman" w:eastAsia="Times New Roman" w:hAnsi="Times New Roman"/>
          <w:iCs/>
          <w:kern w:val="2"/>
          <w:lang w:val="en-US"/>
          <w14:ligatures w14:val="standardContextual"/>
        </w:rPr>
        <w:t xml:space="preserve"> all conditions</w:t>
      </w:r>
      <w:r w:rsidR="00B16030" w:rsidRPr="00D16B79">
        <w:rPr>
          <w:rFonts w:ascii="Times New Roman" w:eastAsia="Times New Roman" w:hAnsi="Times New Roman"/>
          <w:iCs/>
          <w:kern w:val="2"/>
          <w:lang w:val="en-US"/>
          <w14:ligatures w14:val="standardContextual"/>
        </w:rPr>
        <w:t xml:space="preserve"> </w:t>
      </w:r>
      <w:r w:rsidRPr="00D16B79">
        <w:rPr>
          <w:rFonts w:asciiTheme="majorHAnsi" w:hAnsiTheme="majorHAnsi" w:cstheme="majorHAnsi"/>
          <w:iCs/>
          <w:lang w:val="en-US"/>
        </w:rPr>
        <w:t>participants donated more to the charity project farthest from its goal (M = 31.38) than</w:t>
      </w:r>
      <w:r w:rsidR="00C1792F" w:rsidRPr="00D16B79">
        <w:rPr>
          <w:rFonts w:asciiTheme="majorHAnsi" w:hAnsiTheme="majorHAnsi" w:cstheme="majorHAnsi"/>
          <w:iCs/>
          <w:lang w:val="en-US"/>
        </w:rPr>
        <w:t xml:space="preserve"> both</w:t>
      </w:r>
      <w:r w:rsidRPr="00D16B79">
        <w:rPr>
          <w:rFonts w:asciiTheme="majorHAnsi" w:hAnsiTheme="majorHAnsi" w:cstheme="majorHAnsi"/>
          <w:iCs/>
          <w:lang w:val="en-US"/>
        </w:rPr>
        <w:t xml:space="preserve"> the one closest to its goal (M = 18.19), t(290) = 6.26, </w:t>
      </w:r>
      <w:r w:rsidRPr="00D16B79">
        <w:rPr>
          <w:rFonts w:asciiTheme="majorHAnsi" w:hAnsiTheme="majorHAnsi" w:cstheme="majorHAnsi"/>
          <w:i/>
          <w:iCs/>
          <w:lang w:val="en-US"/>
        </w:rPr>
        <w:t>p</w:t>
      </w:r>
      <w:r w:rsidRPr="00D16B79">
        <w:rPr>
          <w:rFonts w:asciiTheme="majorHAnsi" w:hAnsiTheme="majorHAnsi" w:cstheme="majorHAnsi"/>
          <w:iCs/>
          <w:lang w:val="en-US"/>
        </w:rPr>
        <w:t xml:space="preserve"> &lt; .001, and the project in the middle (M = 22.14), t(290) = 4.23, </w:t>
      </w:r>
      <w:r w:rsidRPr="00D16B79">
        <w:rPr>
          <w:rFonts w:asciiTheme="majorHAnsi" w:hAnsiTheme="majorHAnsi" w:cstheme="majorHAnsi"/>
          <w:i/>
          <w:iCs/>
          <w:lang w:val="en-US"/>
        </w:rPr>
        <w:t>p</w:t>
      </w:r>
      <w:r w:rsidRPr="00D16B79">
        <w:rPr>
          <w:rFonts w:asciiTheme="majorHAnsi" w:hAnsiTheme="majorHAnsi" w:cstheme="majorHAnsi"/>
          <w:iCs/>
          <w:lang w:val="en-US"/>
        </w:rPr>
        <w:t xml:space="preserve"> &lt; .001. Thus, in both Study 3 and Supplemental Study </w:t>
      </w:r>
      <w:r w:rsidR="005846CD" w:rsidRPr="00D16B79">
        <w:rPr>
          <w:rFonts w:asciiTheme="majorHAnsi" w:hAnsiTheme="majorHAnsi" w:cstheme="majorHAnsi"/>
          <w:iCs/>
          <w:lang w:val="en-US"/>
        </w:rPr>
        <w:t>S</w:t>
      </w:r>
      <w:r w:rsidRPr="00D16B79">
        <w:rPr>
          <w:rFonts w:asciiTheme="majorHAnsi" w:hAnsiTheme="majorHAnsi" w:cstheme="majorHAnsi"/>
          <w:iCs/>
          <w:lang w:val="en-US"/>
        </w:rPr>
        <w:t>3, participants donate</w:t>
      </w:r>
      <w:r w:rsidR="00336F3A" w:rsidRPr="00D16B79">
        <w:rPr>
          <w:rFonts w:asciiTheme="majorHAnsi" w:hAnsiTheme="majorHAnsi" w:cstheme="majorHAnsi"/>
          <w:iCs/>
          <w:lang w:val="en-US"/>
        </w:rPr>
        <w:t>d</w:t>
      </w:r>
      <w:r w:rsidRPr="00D16B79">
        <w:rPr>
          <w:rFonts w:asciiTheme="majorHAnsi" w:hAnsiTheme="majorHAnsi" w:cstheme="majorHAnsi"/>
          <w:iCs/>
          <w:lang w:val="en-US"/>
        </w:rPr>
        <w:t xml:space="preserve"> larger amounts to the charity farthest from its goal when three projects were presented together, regardless of the progress</w:t>
      </w:r>
      <w:r w:rsidR="00EC1032" w:rsidRPr="00D16B79">
        <w:rPr>
          <w:rFonts w:asciiTheme="majorHAnsi" w:hAnsiTheme="majorHAnsi" w:cstheme="majorHAnsi"/>
          <w:iCs/>
          <w:lang w:val="en-US"/>
        </w:rPr>
        <w:t xml:space="preserve"> level</w:t>
      </w:r>
      <w:r w:rsidRPr="00D16B79">
        <w:rPr>
          <w:rFonts w:asciiTheme="majorHAnsi" w:hAnsiTheme="majorHAnsi" w:cstheme="majorHAnsi"/>
          <w:iCs/>
          <w:lang w:val="en-US"/>
        </w:rPr>
        <w:t xml:space="preserve"> of the “middle” charity. </w:t>
      </w:r>
    </w:p>
    <w:p w14:paraId="45D722FB" w14:textId="77777777" w:rsidR="00E53E68" w:rsidRPr="00D16B79" w:rsidRDefault="00E53E68" w:rsidP="00201437">
      <w:pPr>
        <w:spacing w:line="480" w:lineRule="auto"/>
        <w:ind w:firstLine="720"/>
        <w:rPr>
          <w:rFonts w:asciiTheme="majorHAnsi" w:hAnsiTheme="majorHAnsi" w:cstheme="majorHAnsi"/>
          <w:iCs/>
          <w:lang w:val="en-US"/>
        </w:rPr>
      </w:pPr>
    </w:p>
    <w:bookmarkEnd w:id="19"/>
    <w:p w14:paraId="126F6A6A" w14:textId="77777777" w:rsidR="00965BBA" w:rsidRPr="00D16B79" w:rsidRDefault="00965BBA" w:rsidP="00F030EA">
      <w:pPr>
        <w:spacing w:line="480" w:lineRule="auto"/>
        <w:rPr>
          <w:lang w:val="en-US"/>
        </w:rPr>
      </w:pPr>
    </w:p>
    <w:p w14:paraId="3DECB2C7" w14:textId="1A88726F" w:rsidR="000C2C21" w:rsidRPr="00D16B79" w:rsidRDefault="000C2C21" w:rsidP="00C1792F">
      <w:pPr>
        <w:pStyle w:val="Heading1"/>
      </w:pPr>
      <w:r w:rsidRPr="00D16B79">
        <w:t xml:space="preserve">STUDY </w:t>
      </w:r>
      <w:r w:rsidR="009A27A3" w:rsidRPr="00D16B79">
        <w:t>4</w:t>
      </w:r>
      <w:r w:rsidR="00ED1835" w:rsidRPr="00D16B79">
        <w:t xml:space="preserve">: </w:t>
      </w:r>
      <w:r w:rsidR="00A67007" w:rsidRPr="00D16B79">
        <w:t xml:space="preserve">CHARITIES </w:t>
      </w:r>
      <w:r w:rsidR="00F51B7C" w:rsidRPr="00D16B79">
        <w:t>VS.</w:t>
      </w:r>
      <w:r w:rsidR="00A67007" w:rsidRPr="00D16B79">
        <w:t xml:space="preserve"> </w:t>
      </w:r>
      <w:r w:rsidR="0084737D" w:rsidRPr="00D16B79">
        <w:t xml:space="preserve">FOR-PROFIT </w:t>
      </w:r>
      <w:r w:rsidR="00A67007" w:rsidRPr="00D16B79">
        <w:t>BUSINESSES</w:t>
      </w:r>
    </w:p>
    <w:p w14:paraId="2B4713E7" w14:textId="77777777" w:rsidR="00C1792F" w:rsidRPr="00D16B79" w:rsidRDefault="00C1792F" w:rsidP="00C1792F">
      <w:pPr>
        <w:spacing w:line="480" w:lineRule="auto"/>
        <w:ind w:firstLine="720"/>
        <w:rPr>
          <w:lang w:val="en-US"/>
        </w:rPr>
      </w:pPr>
    </w:p>
    <w:p w14:paraId="38EAEC60" w14:textId="36C1CF5F" w:rsidR="000C2C21" w:rsidRPr="00D16B79" w:rsidRDefault="000C2C21" w:rsidP="00C1792F">
      <w:pPr>
        <w:spacing w:line="480" w:lineRule="auto"/>
        <w:ind w:firstLine="720"/>
        <w:rPr>
          <w:lang w:val="en-US"/>
        </w:rPr>
      </w:pPr>
      <w:r w:rsidRPr="00D16B79">
        <w:rPr>
          <w:lang w:val="en-US"/>
        </w:rPr>
        <w:t>Study</w:t>
      </w:r>
      <w:r w:rsidR="009A27A3" w:rsidRPr="00D16B79">
        <w:rPr>
          <w:lang w:val="en-US"/>
        </w:rPr>
        <w:t xml:space="preserve"> 4</w:t>
      </w:r>
      <w:r w:rsidRPr="00D16B79">
        <w:rPr>
          <w:lang w:val="en-US"/>
        </w:rPr>
        <w:t xml:space="preserve"> test</w:t>
      </w:r>
      <w:r w:rsidR="008B0023" w:rsidRPr="00D16B79">
        <w:rPr>
          <w:lang w:val="en-US"/>
        </w:rPr>
        <w:t>ed</w:t>
      </w:r>
      <w:r w:rsidRPr="00D16B79">
        <w:rPr>
          <w:lang w:val="en-US"/>
        </w:rPr>
        <w:t xml:space="preserve"> the moderating role of organization type. </w:t>
      </w:r>
      <w:r w:rsidR="0084737D" w:rsidRPr="00D16B79">
        <w:rPr>
          <w:lang w:val="en-US"/>
        </w:rPr>
        <w:t>Our conceptualization proposes that</w:t>
      </w:r>
      <w:r w:rsidR="00111D5F" w:rsidRPr="00D16B79">
        <w:rPr>
          <w:lang w:val="en-US"/>
        </w:rPr>
        <w:t xml:space="preserve"> people will give more to a</w:t>
      </w:r>
      <w:r w:rsidR="00716EDA">
        <w:rPr>
          <w:lang w:val="en-US"/>
        </w:rPr>
        <w:t xml:space="preserve">n organization </w:t>
      </w:r>
      <w:r w:rsidR="00111D5F" w:rsidRPr="00D16B79">
        <w:rPr>
          <w:lang w:val="en-US"/>
        </w:rPr>
        <w:t>f</w:t>
      </w:r>
      <w:r w:rsidR="00AA3DAA" w:rsidRPr="00D16B79">
        <w:rPr>
          <w:lang w:val="en-US"/>
        </w:rPr>
        <w:t>a</w:t>
      </w:r>
      <w:r w:rsidR="00111D5F" w:rsidRPr="00D16B79">
        <w:rPr>
          <w:lang w:val="en-US"/>
        </w:rPr>
        <w:t xml:space="preserve">rther from its goal </w:t>
      </w:r>
      <w:r w:rsidR="0084737D" w:rsidRPr="00D16B79">
        <w:rPr>
          <w:lang w:val="en-US"/>
        </w:rPr>
        <w:t xml:space="preserve">under conditions where </w:t>
      </w:r>
      <w:r w:rsidR="00DC5BB9">
        <w:rPr>
          <w:lang w:val="en-US"/>
        </w:rPr>
        <w:t xml:space="preserve">consumers are sensitive to the needs of others </w:t>
      </w:r>
      <w:r w:rsidR="0084737D" w:rsidRPr="00D16B79">
        <w:rPr>
          <w:lang w:val="en-US"/>
        </w:rPr>
        <w:t>(</w:t>
      </w:r>
      <w:r w:rsidR="00111D5F" w:rsidRPr="00D16B79">
        <w:rPr>
          <w:lang w:val="en-US"/>
        </w:rPr>
        <w:t>e.g.</w:t>
      </w:r>
      <w:r w:rsidR="0084737D" w:rsidRPr="00D16B79">
        <w:rPr>
          <w:lang w:val="en-US"/>
        </w:rPr>
        <w:t xml:space="preserve">, </w:t>
      </w:r>
      <w:r w:rsidR="00716EDA">
        <w:rPr>
          <w:lang w:val="en-US"/>
        </w:rPr>
        <w:t>when the context is more prosocial)</w:t>
      </w:r>
      <w:r w:rsidR="00111D5F" w:rsidRPr="00D16B79">
        <w:rPr>
          <w:lang w:val="en-US"/>
        </w:rPr>
        <w:t xml:space="preserve"> and when it is made salient (i.e., in joint </w:t>
      </w:r>
      <w:r w:rsidR="00622539" w:rsidRPr="00D16B79">
        <w:rPr>
          <w:lang w:val="en-US"/>
        </w:rPr>
        <w:t xml:space="preserve">vs. </w:t>
      </w:r>
      <w:r w:rsidR="00111D5F" w:rsidRPr="00D16B79">
        <w:rPr>
          <w:lang w:val="en-US"/>
        </w:rPr>
        <w:t xml:space="preserve">separate evaluation). </w:t>
      </w:r>
      <w:r w:rsidR="004962BD" w:rsidRPr="00D16B79">
        <w:rPr>
          <w:lang w:val="en-US"/>
        </w:rPr>
        <w:t>We</w:t>
      </w:r>
      <w:r w:rsidRPr="00D16B79">
        <w:rPr>
          <w:lang w:val="en-US"/>
        </w:rPr>
        <w:t xml:space="preserve"> </w:t>
      </w:r>
      <w:r w:rsidR="00DC5BB9">
        <w:rPr>
          <w:lang w:val="en-US"/>
        </w:rPr>
        <w:t>examined</w:t>
      </w:r>
      <w:r w:rsidR="00DC5BB9" w:rsidRPr="00D16B79">
        <w:rPr>
          <w:lang w:val="en-US"/>
        </w:rPr>
        <w:t xml:space="preserve"> </w:t>
      </w:r>
      <w:r w:rsidR="00F37E7F" w:rsidRPr="00D16B79">
        <w:rPr>
          <w:lang w:val="en-US"/>
        </w:rPr>
        <w:t xml:space="preserve">this </w:t>
      </w:r>
      <w:r w:rsidR="00C1792F" w:rsidRPr="00D16B79">
        <w:rPr>
          <w:lang w:val="en-US"/>
        </w:rPr>
        <w:t>by</w:t>
      </w:r>
      <w:r w:rsidRPr="00D16B79">
        <w:rPr>
          <w:lang w:val="en-US"/>
        </w:rPr>
        <w:t xml:space="preserve"> fram</w:t>
      </w:r>
      <w:r w:rsidR="00C1792F" w:rsidRPr="00D16B79">
        <w:rPr>
          <w:lang w:val="en-US"/>
        </w:rPr>
        <w:t>ing products</w:t>
      </w:r>
      <w:r w:rsidRPr="00D16B79">
        <w:rPr>
          <w:lang w:val="en-US"/>
        </w:rPr>
        <w:t xml:space="preserve"> </w:t>
      </w:r>
      <w:r w:rsidR="00716EDA">
        <w:rPr>
          <w:lang w:val="en-US"/>
        </w:rPr>
        <w:t>in a more vs. less prosocial manner, either</w:t>
      </w:r>
      <w:r w:rsidR="00716EDA" w:rsidRPr="00D16B79">
        <w:rPr>
          <w:lang w:val="en-US"/>
        </w:rPr>
        <w:t xml:space="preserve"> as part of a charitable cause </w:t>
      </w:r>
      <w:r w:rsidR="00716EDA">
        <w:rPr>
          <w:lang w:val="en-US"/>
        </w:rPr>
        <w:t xml:space="preserve">positioned as a non-profit or as </w:t>
      </w:r>
      <w:r w:rsidR="00716EDA" w:rsidRPr="00D16B79">
        <w:rPr>
          <w:lang w:val="en-US"/>
        </w:rPr>
        <w:t>a for-profit business</w:t>
      </w:r>
      <w:r w:rsidR="00A8793F">
        <w:rPr>
          <w:lang w:val="en-US"/>
        </w:rPr>
        <w:t xml:space="preserve"> for-profit </w:t>
      </w:r>
      <w:r w:rsidR="00B0135A" w:rsidRPr="00D16B79">
        <w:rPr>
          <w:lang w:val="en-US"/>
        </w:rPr>
        <w:t>W</w:t>
      </w:r>
      <w:r w:rsidR="004962BD" w:rsidRPr="00D16B79">
        <w:rPr>
          <w:lang w:val="en-US"/>
        </w:rPr>
        <w:t xml:space="preserve">e </w:t>
      </w:r>
      <w:r w:rsidR="00111D5F" w:rsidRPr="00D16B79">
        <w:rPr>
          <w:lang w:val="en-US"/>
        </w:rPr>
        <w:t>once again</w:t>
      </w:r>
      <w:r w:rsidR="003B3FBC" w:rsidRPr="00D16B79">
        <w:rPr>
          <w:lang w:val="en-US"/>
        </w:rPr>
        <w:t xml:space="preserve"> </w:t>
      </w:r>
      <w:r w:rsidRPr="00D16B79">
        <w:rPr>
          <w:lang w:val="en-US"/>
        </w:rPr>
        <w:t>test</w:t>
      </w:r>
      <w:r w:rsidR="000366D2" w:rsidRPr="00D16B79">
        <w:rPr>
          <w:lang w:val="en-US"/>
        </w:rPr>
        <w:t>ed</w:t>
      </w:r>
      <w:r w:rsidRPr="00D16B79">
        <w:rPr>
          <w:lang w:val="en-US"/>
        </w:rPr>
        <w:t xml:space="preserve"> the mediating role of perceived need. </w:t>
      </w:r>
    </w:p>
    <w:p w14:paraId="277ADEB7" w14:textId="77777777" w:rsidR="000C2C21" w:rsidRPr="00D16B79" w:rsidRDefault="000C2C21" w:rsidP="00F55739">
      <w:pPr>
        <w:pStyle w:val="Heading2"/>
      </w:pPr>
      <w:bookmarkStart w:id="20" w:name="_Toc80895589"/>
      <w:bookmarkStart w:id="21" w:name="_Hlk131611686"/>
      <w:r w:rsidRPr="00D16B79">
        <w:lastRenderedPageBreak/>
        <w:t>Method</w:t>
      </w:r>
      <w:bookmarkEnd w:id="20"/>
    </w:p>
    <w:p w14:paraId="484758D0" w14:textId="5713BE01" w:rsidR="000C2C21" w:rsidRPr="00D16B79" w:rsidRDefault="000C2C21" w:rsidP="007D0705">
      <w:pPr>
        <w:spacing w:line="480" w:lineRule="auto"/>
        <w:ind w:firstLine="720"/>
        <w:rPr>
          <w:lang w:val="en-US"/>
        </w:rPr>
      </w:pPr>
      <w:r w:rsidRPr="00D16B79">
        <w:rPr>
          <w:i/>
          <w:iCs/>
          <w:lang w:val="en-US"/>
        </w:rPr>
        <w:t>Participants and design.</w:t>
      </w:r>
      <w:r w:rsidRPr="00D16B79">
        <w:rPr>
          <w:lang w:val="en-US"/>
        </w:rPr>
        <w:t xml:space="preserve"> </w:t>
      </w:r>
      <w:bookmarkEnd w:id="21"/>
      <w:r w:rsidR="007D0705" w:rsidRPr="00D16B79">
        <w:rPr>
          <w:lang w:val="en-US"/>
        </w:rPr>
        <w:t>We</w:t>
      </w:r>
      <w:r w:rsidRPr="00D16B79">
        <w:rPr>
          <w:lang w:val="en-US"/>
        </w:rPr>
        <w:t xml:space="preserve"> aimed to recruit 600 undergraduates from a large North American university</w:t>
      </w:r>
      <w:r w:rsidR="00111D5F" w:rsidRPr="00D16B79">
        <w:rPr>
          <w:lang w:val="en-US"/>
        </w:rPr>
        <w:t xml:space="preserve"> </w:t>
      </w:r>
      <w:r w:rsidRPr="00D16B79">
        <w:rPr>
          <w:lang w:val="en-US"/>
        </w:rPr>
        <w:t>for course credit</w:t>
      </w:r>
      <w:r w:rsidR="00111D5F" w:rsidRPr="00D16B79">
        <w:rPr>
          <w:lang w:val="en-US"/>
        </w:rPr>
        <w:t>. Based on sign-up</w:t>
      </w:r>
      <w:r w:rsidR="004E4CB6" w:rsidRPr="00D16B79">
        <w:rPr>
          <w:lang w:val="en-US"/>
        </w:rPr>
        <w:t xml:space="preserve"> </w:t>
      </w:r>
      <w:r w:rsidR="00111D5F" w:rsidRPr="00D16B79">
        <w:rPr>
          <w:lang w:val="en-US"/>
        </w:rPr>
        <w:t>rates, we recruited</w:t>
      </w:r>
      <w:r w:rsidRPr="00D16B79">
        <w:rPr>
          <w:lang w:val="en-US"/>
        </w:rPr>
        <w:t xml:space="preserve"> 505 participants</w:t>
      </w:r>
      <w:r w:rsidR="00111D5F" w:rsidRPr="00D16B79">
        <w:rPr>
          <w:lang w:val="en-US"/>
        </w:rPr>
        <w:t>.</w:t>
      </w:r>
      <w:r w:rsidRPr="00D16B79">
        <w:rPr>
          <w:lang w:val="en-US"/>
        </w:rPr>
        <w:t xml:space="preserve"> After</w:t>
      </w:r>
      <w:r w:rsidR="003F3BEE" w:rsidRPr="00D16B79">
        <w:rPr>
          <w:lang w:val="en-US"/>
        </w:rPr>
        <w:t xml:space="preserve"> our pre</w:t>
      </w:r>
      <w:r w:rsidR="001C56E3" w:rsidRPr="00D16B79">
        <w:rPr>
          <w:lang w:val="en-US"/>
        </w:rPr>
        <w:t>-</w:t>
      </w:r>
      <w:r w:rsidR="003F3BEE" w:rsidRPr="00D16B79">
        <w:rPr>
          <w:lang w:val="en-US"/>
        </w:rPr>
        <w:t>registered</w:t>
      </w:r>
      <w:r w:rsidRPr="00D16B79">
        <w:rPr>
          <w:lang w:val="en-US"/>
        </w:rPr>
        <w:t xml:space="preserve"> exclusions</w:t>
      </w:r>
      <w:r w:rsidR="00111D5F" w:rsidRPr="00D16B79">
        <w:rPr>
          <w:lang w:val="en-US"/>
        </w:rPr>
        <w:t xml:space="preserve"> (i.e., those who failed an attention check)</w:t>
      </w:r>
      <w:r w:rsidRPr="00D16B79">
        <w:rPr>
          <w:lang w:val="en-US"/>
        </w:rPr>
        <w:t xml:space="preserve">, </w:t>
      </w:r>
      <w:r w:rsidR="00F832B9" w:rsidRPr="00D16B79">
        <w:rPr>
          <w:lang w:val="en-US"/>
        </w:rPr>
        <w:t>486</w:t>
      </w:r>
      <w:r w:rsidRPr="00D16B79">
        <w:rPr>
          <w:lang w:val="en-US"/>
        </w:rPr>
        <w:t xml:space="preserve"> participants</w:t>
      </w:r>
      <w:r w:rsidR="00111D5F" w:rsidRPr="00D16B79">
        <w:rPr>
          <w:lang w:val="en-US"/>
        </w:rPr>
        <w:t xml:space="preserve"> remained</w:t>
      </w:r>
      <w:r w:rsidRPr="00D16B79">
        <w:rPr>
          <w:lang w:val="en-US"/>
        </w:rPr>
        <w:t xml:space="preserve"> (5</w:t>
      </w:r>
      <w:r w:rsidR="00F832B9" w:rsidRPr="00D16B79">
        <w:rPr>
          <w:lang w:val="en-US"/>
        </w:rPr>
        <w:t>8</w:t>
      </w:r>
      <w:r w:rsidRPr="00D16B79">
        <w:rPr>
          <w:lang w:val="en-US"/>
        </w:rPr>
        <w:t xml:space="preserve">% </w:t>
      </w:r>
      <w:r w:rsidR="00111D5F" w:rsidRPr="00D16B79">
        <w:rPr>
          <w:lang w:val="en-US"/>
        </w:rPr>
        <w:t>women</w:t>
      </w:r>
      <w:r w:rsidRPr="00D16B79">
        <w:rPr>
          <w:lang w:val="en-US"/>
        </w:rPr>
        <w:t>, M</w:t>
      </w:r>
      <w:r w:rsidRPr="00D16B79">
        <w:rPr>
          <w:vertAlign w:val="subscript"/>
          <w:lang w:val="en-US"/>
        </w:rPr>
        <w:t>age</w:t>
      </w:r>
      <w:r w:rsidRPr="00D16B79">
        <w:rPr>
          <w:lang w:val="en-US"/>
        </w:rPr>
        <w:t xml:space="preserve"> = 19.2</w:t>
      </w:r>
      <w:r w:rsidR="00F832B9" w:rsidRPr="00D16B79">
        <w:rPr>
          <w:lang w:val="en-US"/>
        </w:rPr>
        <w:t>8</w:t>
      </w:r>
      <w:r w:rsidRPr="00D16B79">
        <w:rPr>
          <w:lang w:val="en-US"/>
        </w:rPr>
        <w:t xml:space="preserve">). This study used a 3 (Evaluation mode: joint vs. separate close vs. separate far) </w:t>
      </w:r>
      <w:r w:rsidR="004E4CB6" w:rsidRPr="00D16B79">
        <w:rPr>
          <w:lang w:val="en-US"/>
        </w:rPr>
        <w:t>×</w:t>
      </w:r>
      <w:r w:rsidRPr="00D16B79">
        <w:rPr>
          <w:lang w:val="en-US"/>
        </w:rPr>
        <w:t xml:space="preserve"> 2 (Organization type: charity vs. business) </w:t>
      </w:r>
      <w:r w:rsidR="00F37E7F" w:rsidRPr="00D16B79">
        <w:rPr>
          <w:lang w:val="en-US"/>
        </w:rPr>
        <w:t>between-</w:t>
      </w:r>
      <w:r w:rsidR="00F37E7F" w:rsidRPr="00D16B79">
        <w:rPr>
          <w:rFonts w:asciiTheme="majorHAnsi" w:hAnsiTheme="majorHAnsi" w:cstheme="majorHAnsi"/>
          <w:lang w:val="en-US"/>
        </w:rPr>
        <w:t xml:space="preserve">subjects </w:t>
      </w:r>
      <w:r w:rsidRPr="00D16B79">
        <w:rPr>
          <w:lang w:val="en-US"/>
        </w:rPr>
        <w:t>design.</w:t>
      </w:r>
    </w:p>
    <w:p w14:paraId="7427100E" w14:textId="44DEE898" w:rsidR="000C2C21" w:rsidRPr="00D16B79" w:rsidRDefault="000C2C21" w:rsidP="006D6CB4">
      <w:pPr>
        <w:spacing w:line="480" w:lineRule="auto"/>
        <w:ind w:firstLine="720"/>
        <w:rPr>
          <w:lang w:val="en-US"/>
        </w:rPr>
      </w:pPr>
      <w:r w:rsidRPr="00D16B79">
        <w:rPr>
          <w:i/>
          <w:iCs/>
          <w:lang w:val="en-US"/>
        </w:rPr>
        <w:t>Procedure.</w:t>
      </w:r>
      <w:r w:rsidRPr="00D16B79">
        <w:rPr>
          <w:lang w:val="en-US"/>
        </w:rPr>
        <w:t xml:space="preserve"> Participants were randomly assigned to see either charities or businesses that were pretested to be different in terms </w:t>
      </w:r>
      <w:r w:rsidR="00B65920" w:rsidRPr="00D16B79">
        <w:rPr>
          <w:lang w:val="en-US"/>
        </w:rPr>
        <w:t xml:space="preserve">of </w:t>
      </w:r>
      <w:r w:rsidRPr="00D16B79">
        <w:rPr>
          <w:lang w:val="en-US"/>
        </w:rPr>
        <w:t>organization</w:t>
      </w:r>
      <w:r w:rsidR="00111D5F" w:rsidRPr="00D16B79">
        <w:rPr>
          <w:lang w:val="en-US"/>
        </w:rPr>
        <w:t xml:space="preserve"> type,</w:t>
      </w:r>
      <w:r w:rsidRPr="00D16B79">
        <w:rPr>
          <w:lang w:val="en-US"/>
        </w:rPr>
        <w:t xml:space="preserve"> but similar in terms of liking and other factors</w:t>
      </w:r>
      <w:r w:rsidR="006279D0" w:rsidRPr="00D16B79">
        <w:rPr>
          <w:lang w:val="en-US"/>
        </w:rPr>
        <w:t xml:space="preserve"> (see Web Appendix A for pretest)</w:t>
      </w:r>
      <w:r w:rsidRPr="00D16B79">
        <w:rPr>
          <w:lang w:val="en-US"/>
        </w:rPr>
        <w:t xml:space="preserve">. </w:t>
      </w:r>
      <w:r w:rsidR="00111D5F" w:rsidRPr="00D16B79">
        <w:rPr>
          <w:lang w:val="en-US"/>
        </w:rPr>
        <w:t>T</w:t>
      </w:r>
      <w:r w:rsidRPr="00D16B79">
        <w:rPr>
          <w:lang w:val="en-US"/>
        </w:rPr>
        <w:t xml:space="preserve">he organizations </w:t>
      </w:r>
      <w:r w:rsidR="00111D5F" w:rsidRPr="00D16B79">
        <w:rPr>
          <w:lang w:val="en-US"/>
        </w:rPr>
        <w:t xml:space="preserve">offered </w:t>
      </w:r>
      <w:proofErr w:type="spellStart"/>
      <w:r w:rsidRPr="00D16B79">
        <w:rPr>
          <w:lang w:val="en-US"/>
        </w:rPr>
        <w:t>LifeLight</w:t>
      </w:r>
      <w:proofErr w:type="spellEnd"/>
      <w:r w:rsidRPr="00D16B79">
        <w:rPr>
          <w:lang w:val="en-US"/>
        </w:rPr>
        <w:t>, a solar</w:t>
      </w:r>
      <w:r w:rsidR="008419B9" w:rsidRPr="00D16B79">
        <w:rPr>
          <w:lang w:val="en-US"/>
        </w:rPr>
        <w:t>-</w:t>
      </w:r>
      <w:r w:rsidRPr="00D16B79">
        <w:rPr>
          <w:lang w:val="en-US"/>
        </w:rPr>
        <w:t>powered light</w:t>
      </w:r>
      <w:r w:rsidR="008651A6" w:rsidRPr="00D16B79">
        <w:rPr>
          <w:lang w:val="en-US"/>
        </w:rPr>
        <w:t>,</w:t>
      </w:r>
      <w:r w:rsidRPr="00D16B79">
        <w:rPr>
          <w:lang w:val="en-US"/>
        </w:rPr>
        <w:t xml:space="preserve"> and Solar Bar, a foldable solar panel. In the charity condition, these products were framed as </w:t>
      </w:r>
      <w:r w:rsidR="00111D5F" w:rsidRPr="00D16B79">
        <w:rPr>
          <w:lang w:val="en-US"/>
        </w:rPr>
        <w:t xml:space="preserve">being given to </w:t>
      </w:r>
      <w:r w:rsidRPr="00D16B79">
        <w:rPr>
          <w:lang w:val="en-US"/>
        </w:rPr>
        <w:t>those living in places without access to electricity</w:t>
      </w:r>
      <w:r w:rsidR="008651A6" w:rsidRPr="00D16B79">
        <w:rPr>
          <w:lang w:val="en-US"/>
        </w:rPr>
        <w:t>,</w:t>
      </w:r>
      <w:r w:rsidRPr="00D16B79">
        <w:rPr>
          <w:lang w:val="en-US"/>
        </w:rPr>
        <w:t xml:space="preserve"> and in the business condition, the products were framed as </w:t>
      </w:r>
      <w:r w:rsidR="00111D5F" w:rsidRPr="00D16B79">
        <w:rPr>
          <w:lang w:val="en-US"/>
        </w:rPr>
        <w:t>for sale to</w:t>
      </w:r>
      <w:r w:rsidRPr="00D16B79">
        <w:rPr>
          <w:lang w:val="en-US"/>
        </w:rPr>
        <w:t xml:space="preserve"> travelers who </w:t>
      </w:r>
      <w:r w:rsidR="008419B9" w:rsidRPr="00D16B79">
        <w:rPr>
          <w:lang w:val="en-US"/>
        </w:rPr>
        <w:t>a</w:t>
      </w:r>
      <w:r w:rsidRPr="00D16B79">
        <w:rPr>
          <w:lang w:val="en-US"/>
        </w:rPr>
        <w:t xml:space="preserve">re hiking, camping, </w:t>
      </w:r>
      <w:r w:rsidR="00111D5F" w:rsidRPr="00D16B79">
        <w:rPr>
          <w:lang w:val="en-US"/>
        </w:rPr>
        <w:t>etc</w:t>
      </w:r>
      <w:r w:rsidRPr="00D16B79">
        <w:rPr>
          <w:lang w:val="en-US"/>
        </w:rPr>
        <w:t>.</w:t>
      </w:r>
      <w:r w:rsidR="00603617">
        <w:rPr>
          <w:lang w:val="en-US"/>
        </w:rPr>
        <w:t xml:space="preserve"> </w:t>
      </w:r>
      <w:r w:rsidR="00F60577">
        <w:rPr>
          <w:lang w:val="en-US"/>
        </w:rPr>
        <w:t>We chose to manipulate how the product was used</w:t>
      </w:r>
      <w:r w:rsidR="00603617">
        <w:rPr>
          <w:lang w:val="en-US"/>
        </w:rPr>
        <w:t xml:space="preserve"> while changing the </w:t>
      </w:r>
      <w:r w:rsidR="00AD36D2">
        <w:rPr>
          <w:lang w:val="en-US"/>
        </w:rPr>
        <w:t xml:space="preserve">charity vs, business </w:t>
      </w:r>
      <w:r w:rsidR="00603617">
        <w:rPr>
          <w:lang w:val="en-US"/>
        </w:rPr>
        <w:t xml:space="preserve">context </w:t>
      </w:r>
      <w:r w:rsidR="001E1220">
        <w:rPr>
          <w:lang w:val="en-US"/>
        </w:rPr>
        <w:t>so that it remained believable to participants.</w:t>
      </w:r>
    </w:p>
    <w:p w14:paraId="7026484D" w14:textId="71083902" w:rsidR="00567333" w:rsidRPr="00D16B79" w:rsidRDefault="000C2C21" w:rsidP="00505660">
      <w:pPr>
        <w:spacing w:line="480" w:lineRule="auto"/>
        <w:ind w:firstLine="720"/>
        <w:rPr>
          <w:lang w:val="en-US"/>
        </w:rPr>
      </w:pPr>
      <w:r w:rsidRPr="00D16B79">
        <w:rPr>
          <w:lang w:val="en-US"/>
        </w:rPr>
        <w:t>In the joint evaluation condition</w:t>
      </w:r>
      <w:r w:rsidR="00111D5F" w:rsidRPr="00D16B79">
        <w:rPr>
          <w:lang w:val="en-US"/>
        </w:rPr>
        <w:t>,</w:t>
      </w:r>
      <w:r w:rsidRPr="00D16B79">
        <w:rPr>
          <w:lang w:val="en-US"/>
        </w:rPr>
        <w:t xml:space="preserve"> participants saw both organizations</w:t>
      </w:r>
      <w:r w:rsidR="00C96BCC" w:rsidRPr="00D16B79">
        <w:rPr>
          <w:lang w:val="en-US"/>
        </w:rPr>
        <w:t>,</w:t>
      </w:r>
      <w:r w:rsidRPr="00D16B79">
        <w:rPr>
          <w:lang w:val="en-US"/>
        </w:rPr>
        <w:t xml:space="preserve"> with one close</w:t>
      </w:r>
      <w:r w:rsidR="00363957" w:rsidRPr="00D16B79">
        <w:rPr>
          <w:lang w:val="en-US"/>
        </w:rPr>
        <w:t>r</w:t>
      </w:r>
      <w:r w:rsidRPr="00D16B79">
        <w:rPr>
          <w:lang w:val="en-US"/>
        </w:rPr>
        <w:t xml:space="preserve"> to reaching its goal ($2730 out of $3000) and the other far</w:t>
      </w:r>
      <w:r w:rsidR="00363957" w:rsidRPr="00D16B79">
        <w:rPr>
          <w:lang w:val="en-US"/>
        </w:rPr>
        <w:t>ther</w:t>
      </w:r>
      <w:r w:rsidRPr="00D16B79">
        <w:rPr>
          <w:lang w:val="en-US"/>
        </w:rPr>
        <w:t xml:space="preserve"> from reaching its goal ($300 out of $3000). The order (left vs. right) and names of the organizations were counterbalanced. In the separate evaluation condition</w:t>
      </w:r>
      <w:r w:rsidR="00111D5F" w:rsidRPr="00D16B79">
        <w:rPr>
          <w:lang w:val="en-US"/>
        </w:rPr>
        <w:t>,</w:t>
      </w:r>
      <w:r w:rsidRPr="00D16B79">
        <w:rPr>
          <w:lang w:val="en-US"/>
        </w:rPr>
        <w:t xml:space="preserve"> participants saw a single organization either close</w:t>
      </w:r>
      <w:r w:rsidR="00D0310A" w:rsidRPr="00D16B79">
        <w:rPr>
          <w:lang w:val="en-US"/>
        </w:rPr>
        <w:t>r</w:t>
      </w:r>
      <w:r w:rsidRPr="00D16B79">
        <w:rPr>
          <w:lang w:val="en-US"/>
        </w:rPr>
        <w:t xml:space="preserve"> to or far</w:t>
      </w:r>
      <w:r w:rsidR="00D0310A" w:rsidRPr="00D16B79">
        <w:rPr>
          <w:lang w:val="en-US"/>
        </w:rPr>
        <w:t>ther</w:t>
      </w:r>
      <w:r w:rsidRPr="00D16B79">
        <w:rPr>
          <w:lang w:val="en-US"/>
        </w:rPr>
        <w:t xml:space="preserve"> from its goal. Participants were then asked </w:t>
      </w:r>
      <w:r w:rsidR="002945E5" w:rsidRPr="00D16B79">
        <w:rPr>
          <w:lang w:val="en-US"/>
        </w:rPr>
        <w:t xml:space="preserve">to imagine they had $100 left at the end of the month and </w:t>
      </w:r>
      <w:r w:rsidRPr="00D16B79">
        <w:rPr>
          <w:lang w:val="en-US"/>
        </w:rPr>
        <w:t xml:space="preserve">how much of </w:t>
      </w:r>
      <w:r w:rsidR="002945E5" w:rsidRPr="00D16B79">
        <w:rPr>
          <w:lang w:val="en-US"/>
        </w:rPr>
        <w:t xml:space="preserve">it </w:t>
      </w:r>
      <w:r w:rsidRPr="00D16B79">
        <w:rPr>
          <w:lang w:val="en-US"/>
        </w:rPr>
        <w:t xml:space="preserve">they would give to each organization. They then rated the organizations in terms of perceived need </w:t>
      </w:r>
      <w:r w:rsidR="00171475">
        <w:rPr>
          <w:lang w:val="en-US"/>
        </w:rPr>
        <w:t xml:space="preserve">and </w:t>
      </w:r>
      <w:r w:rsidRPr="00D16B79">
        <w:rPr>
          <w:lang w:val="en-US"/>
        </w:rPr>
        <w:t xml:space="preserve">impact </w:t>
      </w:r>
      <w:r w:rsidR="00E553BC" w:rsidRPr="00D16B79">
        <w:rPr>
          <w:lang w:val="en-US"/>
        </w:rPr>
        <w:t>as in previous studies</w:t>
      </w:r>
      <w:r w:rsidR="00171475">
        <w:rPr>
          <w:lang w:val="en-US"/>
        </w:rPr>
        <w:t xml:space="preserve"> (as well as </w:t>
      </w:r>
      <w:r w:rsidR="00171475" w:rsidRPr="00D16B79">
        <w:rPr>
          <w:lang w:val="en-US"/>
        </w:rPr>
        <w:t>competence and warmth</w:t>
      </w:r>
      <w:r w:rsidR="00171475">
        <w:rPr>
          <w:lang w:val="en-US"/>
        </w:rPr>
        <w:t>; detailed in the Web Appendix)</w:t>
      </w:r>
      <w:r w:rsidRPr="00D16B79">
        <w:rPr>
          <w:lang w:val="en-US"/>
        </w:rPr>
        <w:t>. Lastly, participants answered basic demographic questions.</w:t>
      </w:r>
    </w:p>
    <w:p w14:paraId="760A88F8" w14:textId="7FBE5F6F" w:rsidR="000C2C21" w:rsidRPr="00D16B79" w:rsidRDefault="00C06553" w:rsidP="00F55739">
      <w:pPr>
        <w:pStyle w:val="Heading2"/>
      </w:pPr>
      <w:bookmarkStart w:id="22" w:name="_Toc80895590"/>
      <w:r w:rsidRPr="00D16B79">
        <w:lastRenderedPageBreak/>
        <w:t xml:space="preserve"> </w:t>
      </w:r>
      <w:r w:rsidR="000C2C21" w:rsidRPr="00D16B79">
        <w:t>Results</w:t>
      </w:r>
      <w:bookmarkEnd w:id="22"/>
    </w:p>
    <w:p w14:paraId="59519557" w14:textId="64BACA92" w:rsidR="000C2C21" w:rsidRPr="00D16B79" w:rsidRDefault="000C2C21" w:rsidP="006D6CB4">
      <w:pPr>
        <w:spacing w:line="480" w:lineRule="auto"/>
        <w:ind w:firstLine="720"/>
        <w:rPr>
          <w:lang w:val="en-US"/>
        </w:rPr>
      </w:pPr>
      <w:r w:rsidRPr="00D16B79">
        <w:rPr>
          <w:i/>
          <w:iCs/>
          <w:lang w:val="en-US"/>
        </w:rPr>
        <w:t xml:space="preserve">Donation </w:t>
      </w:r>
      <w:r w:rsidR="00C96BCC" w:rsidRPr="00D16B79">
        <w:rPr>
          <w:i/>
          <w:iCs/>
          <w:lang w:val="en-US"/>
        </w:rPr>
        <w:t>a</w:t>
      </w:r>
      <w:r w:rsidRPr="00D16B79">
        <w:rPr>
          <w:i/>
          <w:iCs/>
          <w:lang w:val="en-US"/>
        </w:rPr>
        <w:t>mount.</w:t>
      </w:r>
      <w:r w:rsidRPr="00D16B79">
        <w:rPr>
          <w:lang w:val="en-US"/>
        </w:rPr>
        <w:t xml:space="preserve"> </w:t>
      </w:r>
      <w:r w:rsidR="00306894" w:rsidRPr="00D16B79">
        <w:rPr>
          <w:lang w:val="en-US"/>
        </w:rPr>
        <w:t>We</w:t>
      </w:r>
      <w:r w:rsidRPr="00D16B79">
        <w:rPr>
          <w:lang w:val="en-US"/>
        </w:rPr>
        <w:t xml:space="preserve"> predicted that joint evaluation would </w:t>
      </w:r>
      <w:r w:rsidR="001548E0" w:rsidRPr="00D16B79">
        <w:rPr>
          <w:lang w:val="en-US"/>
        </w:rPr>
        <w:t>lead to higher donation intentions</w:t>
      </w:r>
      <w:r w:rsidRPr="00D16B79">
        <w:rPr>
          <w:lang w:val="en-US"/>
        </w:rPr>
        <w:t xml:space="preserve"> towards the charity </w:t>
      </w:r>
      <w:r w:rsidR="003C404E" w:rsidRPr="00D16B79">
        <w:rPr>
          <w:lang w:val="en-US"/>
        </w:rPr>
        <w:t>farther</w:t>
      </w:r>
      <w:r w:rsidRPr="00D16B79">
        <w:rPr>
          <w:lang w:val="en-US"/>
        </w:rPr>
        <w:t xml:space="preserve"> from its goal than the business </w:t>
      </w:r>
      <w:r w:rsidR="003C404E" w:rsidRPr="00D16B79">
        <w:rPr>
          <w:lang w:val="en-US"/>
        </w:rPr>
        <w:t>farther</w:t>
      </w:r>
      <w:r w:rsidRPr="00D16B79">
        <w:rPr>
          <w:lang w:val="en-US"/>
        </w:rPr>
        <w:t xml:space="preserve"> from its goal. To assess this, </w:t>
      </w:r>
      <w:r w:rsidR="00306894" w:rsidRPr="00D16B79">
        <w:rPr>
          <w:lang w:val="en-US"/>
        </w:rPr>
        <w:t>we</w:t>
      </w:r>
      <w:r w:rsidRPr="00D16B79">
        <w:rPr>
          <w:lang w:val="en-US"/>
        </w:rPr>
        <w:t xml:space="preserve"> ran a</w:t>
      </w:r>
      <w:r w:rsidR="006127C8" w:rsidRPr="00D16B79">
        <w:rPr>
          <w:lang w:val="en-US"/>
        </w:rPr>
        <w:t xml:space="preserve"> two-way </w:t>
      </w:r>
      <w:r w:rsidRPr="00D16B79">
        <w:rPr>
          <w:lang w:val="en-US"/>
        </w:rPr>
        <w:t>ANOVA including evaluation type (JE vs. SE), organization type (charity vs. business)</w:t>
      </w:r>
      <w:r w:rsidR="00BE59F3" w:rsidRPr="00D16B79">
        <w:rPr>
          <w:lang w:val="en-US"/>
        </w:rPr>
        <w:t>,</w:t>
      </w:r>
      <w:r w:rsidRPr="00D16B79">
        <w:rPr>
          <w:lang w:val="en-US"/>
        </w:rPr>
        <w:t xml:space="preserve"> and their interaction on average </w:t>
      </w:r>
      <w:r w:rsidR="00FC5E42" w:rsidRPr="00D16B79">
        <w:rPr>
          <w:lang w:val="en-US"/>
        </w:rPr>
        <w:t>amount allocated to</w:t>
      </w:r>
      <w:r w:rsidRPr="00D16B79">
        <w:rPr>
          <w:lang w:val="en-US"/>
        </w:rPr>
        <w:t xml:space="preserve"> the organization </w:t>
      </w:r>
      <w:r w:rsidR="003C404E" w:rsidRPr="00D16B79">
        <w:rPr>
          <w:lang w:val="en-US"/>
        </w:rPr>
        <w:t>farther</w:t>
      </w:r>
      <w:r w:rsidRPr="00D16B79">
        <w:rPr>
          <w:lang w:val="en-US"/>
        </w:rPr>
        <w:t xml:space="preserve"> from its goal. This revealed a significant main effect of evaluation mode, F(1, </w:t>
      </w:r>
      <w:r w:rsidR="00F832B9" w:rsidRPr="00D16B79">
        <w:rPr>
          <w:lang w:val="en-US"/>
        </w:rPr>
        <w:t>320</w:t>
      </w:r>
      <w:r w:rsidRPr="00D16B79">
        <w:rPr>
          <w:lang w:val="en-US"/>
        </w:rPr>
        <w:t xml:space="preserve">) = </w:t>
      </w:r>
      <w:r w:rsidR="00F832B9" w:rsidRPr="00D16B79">
        <w:rPr>
          <w:lang w:val="en-US"/>
        </w:rPr>
        <w:t>15.81</w:t>
      </w:r>
      <w:r w:rsidRPr="00D16B79">
        <w:rPr>
          <w:lang w:val="en-US"/>
        </w:rPr>
        <w:t xml:space="preserve">, </w:t>
      </w:r>
      <w:r w:rsidRPr="00D16B79">
        <w:rPr>
          <w:i/>
          <w:iCs/>
          <w:lang w:val="en-US"/>
        </w:rPr>
        <w:t xml:space="preserve">p </w:t>
      </w:r>
      <w:r w:rsidRPr="00D16B79">
        <w:rPr>
          <w:lang w:val="en-US"/>
        </w:rPr>
        <w:t xml:space="preserve">&lt; .001, no main effect of organization type, </w:t>
      </w:r>
      <w:r w:rsidRPr="00D16B79">
        <w:rPr>
          <w:i/>
          <w:iCs/>
          <w:lang w:val="en-US"/>
        </w:rPr>
        <w:t>p</w:t>
      </w:r>
      <w:r w:rsidRPr="00D16B79">
        <w:rPr>
          <w:lang w:val="en-US"/>
        </w:rPr>
        <w:t xml:space="preserve"> = .</w:t>
      </w:r>
      <w:r w:rsidR="00F832B9" w:rsidRPr="00D16B79">
        <w:rPr>
          <w:lang w:val="en-US"/>
        </w:rPr>
        <w:t>55</w:t>
      </w:r>
      <w:r w:rsidR="00BE59F3" w:rsidRPr="00D16B79">
        <w:rPr>
          <w:lang w:val="en-US"/>
        </w:rPr>
        <w:t>,</w:t>
      </w:r>
      <w:r w:rsidRPr="00D16B79">
        <w:rPr>
          <w:lang w:val="en-US"/>
        </w:rPr>
        <w:t xml:space="preserve"> and a marginally significant interaction between </w:t>
      </w:r>
      <w:r w:rsidR="00BE59F3" w:rsidRPr="00D16B79">
        <w:rPr>
          <w:lang w:val="en-US"/>
        </w:rPr>
        <w:t>the two</w:t>
      </w:r>
      <w:r w:rsidRPr="00D16B79">
        <w:rPr>
          <w:lang w:val="en-US"/>
        </w:rPr>
        <w:t xml:space="preserve">, F(1, </w:t>
      </w:r>
      <w:r w:rsidR="00F832B9" w:rsidRPr="00D16B79">
        <w:rPr>
          <w:lang w:val="en-US"/>
        </w:rPr>
        <w:t>320</w:t>
      </w:r>
      <w:r w:rsidRPr="00D16B79">
        <w:rPr>
          <w:lang w:val="en-US"/>
        </w:rPr>
        <w:t>) = 3.</w:t>
      </w:r>
      <w:r w:rsidR="00F832B9" w:rsidRPr="00D16B79">
        <w:rPr>
          <w:lang w:val="en-US"/>
        </w:rPr>
        <w:t>08</w:t>
      </w:r>
      <w:r w:rsidRPr="00D16B79">
        <w:rPr>
          <w:lang w:val="en-US"/>
        </w:rPr>
        <w:t xml:space="preserve">, </w:t>
      </w:r>
      <w:r w:rsidRPr="00D16B79">
        <w:rPr>
          <w:i/>
          <w:iCs/>
          <w:lang w:val="en-US"/>
        </w:rPr>
        <w:t>p</w:t>
      </w:r>
      <w:r w:rsidRPr="00D16B79">
        <w:rPr>
          <w:lang w:val="en-US"/>
        </w:rPr>
        <w:t xml:space="preserve"> = .08</w:t>
      </w:r>
      <w:r w:rsidR="00832A09" w:rsidRPr="00D16B79">
        <w:rPr>
          <w:lang w:val="en-US"/>
        </w:rPr>
        <w:t>.</w:t>
      </w:r>
      <w:r w:rsidRPr="00D16B79">
        <w:rPr>
          <w:lang w:val="en-US"/>
        </w:rPr>
        <w:t xml:space="preserve"> </w:t>
      </w:r>
      <w:r w:rsidR="001548E0" w:rsidRPr="00D16B79">
        <w:rPr>
          <w:lang w:val="en-US"/>
        </w:rPr>
        <w:t xml:space="preserve">Importantly, </w:t>
      </w:r>
      <w:r w:rsidR="00D0310A" w:rsidRPr="00D16B79">
        <w:rPr>
          <w:lang w:val="en-US"/>
        </w:rPr>
        <w:t xml:space="preserve">follow-up </w:t>
      </w:r>
      <w:r w:rsidR="001548E0" w:rsidRPr="00D16B79">
        <w:rPr>
          <w:lang w:val="en-US"/>
        </w:rPr>
        <w:t>p</w:t>
      </w:r>
      <w:r w:rsidRPr="00D16B79">
        <w:rPr>
          <w:lang w:val="en-US"/>
        </w:rPr>
        <w:t xml:space="preserve">airwise comparisons showed that funds for the charity </w:t>
      </w:r>
      <w:r w:rsidR="003C404E" w:rsidRPr="00D16B79">
        <w:rPr>
          <w:lang w:val="en-US"/>
        </w:rPr>
        <w:t>farther</w:t>
      </w:r>
      <w:r w:rsidRPr="00D16B79">
        <w:rPr>
          <w:lang w:val="en-US"/>
        </w:rPr>
        <w:t xml:space="preserve"> from its goal were significantly higher in joint evaluation (M = </w:t>
      </w:r>
      <w:r w:rsidR="00F832B9" w:rsidRPr="00D16B79">
        <w:rPr>
          <w:lang w:val="en-US"/>
        </w:rPr>
        <w:t>55.71</w:t>
      </w:r>
      <w:r w:rsidRPr="00D16B79">
        <w:rPr>
          <w:lang w:val="en-US"/>
        </w:rPr>
        <w:t xml:space="preserve">) than separate evaluation (M = </w:t>
      </w:r>
      <w:r w:rsidR="00F832B9" w:rsidRPr="00D16B79">
        <w:rPr>
          <w:lang w:val="en-US"/>
        </w:rPr>
        <w:t>36.52</w:t>
      </w:r>
      <w:r w:rsidRPr="00D16B79">
        <w:rPr>
          <w:lang w:val="en-US"/>
        </w:rPr>
        <w:t xml:space="preserve">), F(1, </w:t>
      </w:r>
      <w:r w:rsidR="00F832B9" w:rsidRPr="00D16B79">
        <w:rPr>
          <w:lang w:val="en-US"/>
        </w:rPr>
        <w:t>320</w:t>
      </w:r>
      <w:r w:rsidRPr="00D16B79">
        <w:rPr>
          <w:lang w:val="en-US"/>
        </w:rPr>
        <w:t xml:space="preserve">) = </w:t>
      </w:r>
      <w:r w:rsidR="00F832B9" w:rsidRPr="00D16B79">
        <w:rPr>
          <w:lang w:val="en-US"/>
        </w:rPr>
        <w:t>15.74</w:t>
      </w:r>
      <w:r w:rsidRPr="00D16B79">
        <w:rPr>
          <w:lang w:val="en-US"/>
        </w:rPr>
        <w:t xml:space="preserve">, </w:t>
      </w:r>
      <w:r w:rsidRPr="00D16B79">
        <w:rPr>
          <w:i/>
          <w:iCs/>
          <w:lang w:val="en-US"/>
        </w:rPr>
        <w:t>p</w:t>
      </w:r>
      <w:r w:rsidRPr="00D16B79">
        <w:rPr>
          <w:lang w:val="en-US"/>
        </w:rPr>
        <w:t xml:space="preserve"> &lt; .001, </w:t>
      </w:r>
      <w:r w:rsidR="00960AE3" w:rsidRPr="00D16B79">
        <w:rPr>
          <w:lang w:val="en-US"/>
        </w:rPr>
        <w:t xml:space="preserve">indicating that participants gave more to </w:t>
      </w:r>
      <w:r w:rsidR="00E67205" w:rsidRPr="00D16B79">
        <w:rPr>
          <w:lang w:val="en-US"/>
        </w:rPr>
        <w:t xml:space="preserve">a </w:t>
      </w:r>
      <w:r w:rsidR="00960AE3" w:rsidRPr="00D16B79">
        <w:rPr>
          <w:lang w:val="en-US"/>
        </w:rPr>
        <w:t>charit</w:t>
      </w:r>
      <w:r w:rsidR="00E67205" w:rsidRPr="00D16B79">
        <w:rPr>
          <w:lang w:val="en-US"/>
        </w:rPr>
        <w:t>y</w:t>
      </w:r>
      <w:r w:rsidR="00960AE3" w:rsidRPr="00D16B79">
        <w:rPr>
          <w:lang w:val="en-US"/>
        </w:rPr>
        <w:t xml:space="preserve"> f</w:t>
      </w:r>
      <w:r w:rsidR="00E67205" w:rsidRPr="00D16B79">
        <w:rPr>
          <w:lang w:val="en-US"/>
        </w:rPr>
        <w:t>a</w:t>
      </w:r>
      <w:r w:rsidR="00960AE3" w:rsidRPr="00D16B79">
        <w:rPr>
          <w:lang w:val="en-US"/>
        </w:rPr>
        <w:t>rther from its goal in JE than in SE</w:t>
      </w:r>
      <w:r w:rsidRPr="00D16B79">
        <w:rPr>
          <w:lang w:val="en-US"/>
        </w:rPr>
        <w:t>.</w:t>
      </w:r>
      <w:r w:rsidR="00D56E5B" w:rsidRPr="00D16B79">
        <w:rPr>
          <w:lang w:val="en-US"/>
        </w:rPr>
        <w:t xml:space="preserve"> </w:t>
      </w:r>
      <w:r w:rsidRPr="00D16B79">
        <w:rPr>
          <w:lang w:val="en-US"/>
        </w:rPr>
        <w:t xml:space="preserve">Funds for the business </w:t>
      </w:r>
      <w:r w:rsidR="003C404E" w:rsidRPr="00D16B79">
        <w:rPr>
          <w:lang w:val="en-US"/>
        </w:rPr>
        <w:t>farther</w:t>
      </w:r>
      <w:r w:rsidRPr="00D16B79">
        <w:rPr>
          <w:lang w:val="en-US"/>
        </w:rPr>
        <w:t xml:space="preserve"> from its goal were </w:t>
      </w:r>
      <w:r w:rsidR="00D0310A" w:rsidRPr="00D16B79">
        <w:rPr>
          <w:lang w:val="en-US"/>
        </w:rPr>
        <w:t>similar</w:t>
      </w:r>
      <w:r w:rsidRPr="00D16B79">
        <w:rPr>
          <w:lang w:val="en-US"/>
        </w:rPr>
        <w:t xml:space="preserve"> in joint (M = </w:t>
      </w:r>
      <w:r w:rsidR="00F832B9" w:rsidRPr="00D16B79">
        <w:rPr>
          <w:lang w:val="en-US"/>
        </w:rPr>
        <w:t>47.84</w:t>
      </w:r>
      <w:r w:rsidRPr="00D16B79">
        <w:rPr>
          <w:lang w:val="en-US"/>
        </w:rPr>
        <w:t xml:space="preserve">) </w:t>
      </w:r>
      <w:r w:rsidR="00D0310A" w:rsidRPr="00D16B79">
        <w:rPr>
          <w:lang w:val="en-US"/>
        </w:rPr>
        <w:t>and</w:t>
      </w:r>
      <w:r w:rsidRPr="00D16B79">
        <w:rPr>
          <w:lang w:val="en-US"/>
        </w:rPr>
        <w:t xml:space="preserve"> separate (M = </w:t>
      </w:r>
      <w:r w:rsidR="00F832B9" w:rsidRPr="00D16B79">
        <w:rPr>
          <w:lang w:val="en-US"/>
        </w:rPr>
        <w:t>40.40</w:t>
      </w:r>
      <w:r w:rsidRPr="00D16B79">
        <w:rPr>
          <w:lang w:val="en-US"/>
        </w:rPr>
        <w:t>) evaluation</w:t>
      </w:r>
      <w:r w:rsidR="009402F0" w:rsidRPr="00D16B79">
        <w:rPr>
          <w:lang w:val="en-US"/>
        </w:rPr>
        <w:t xml:space="preserve"> modes</w:t>
      </w:r>
      <w:r w:rsidRPr="00D16B79">
        <w:rPr>
          <w:lang w:val="en-US"/>
        </w:rPr>
        <w:t xml:space="preserve">, F(1, </w:t>
      </w:r>
      <w:r w:rsidR="00F832B9" w:rsidRPr="00D16B79">
        <w:rPr>
          <w:lang w:val="en-US"/>
        </w:rPr>
        <w:t>320</w:t>
      </w:r>
      <w:r w:rsidRPr="00D16B79">
        <w:rPr>
          <w:lang w:val="en-US"/>
        </w:rPr>
        <w:t xml:space="preserve">) = </w:t>
      </w:r>
      <w:r w:rsidR="00F832B9" w:rsidRPr="00D16B79">
        <w:rPr>
          <w:lang w:val="en-US"/>
        </w:rPr>
        <w:t>2.58</w:t>
      </w:r>
      <w:r w:rsidRPr="00D16B79">
        <w:rPr>
          <w:lang w:val="en-US"/>
        </w:rPr>
        <w:t xml:space="preserve">, </w:t>
      </w:r>
      <w:r w:rsidRPr="00D16B79">
        <w:rPr>
          <w:i/>
          <w:iCs/>
          <w:lang w:val="en-US"/>
        </w:rPr>
        <w:t>p</w:t>
      </w:r>
      <w:r w:rsidRPr="00D16B79">
        <w:rPr>
          <w:lang w:val="en-US"/>
        </w:rPr>
        <w:t xml:space="preserve"> = .</w:t>
      </w:r>
      <w:r w:rsidR="00F832B9" w:rsidRPr="00D16B79">
        <w:rPr>
          <w:lang w:val="en-US"/>
        </w:rPr>
        <w:t>11</w:t>
      </w:r>
      <w:r w:rsidRPr="00D16B79">
        <w:rPr>
          <w:lang w:val="en-US"/>
        </w:rPr>
        <w:t xml:space="preserve">. </w:t>
      </w:r>
    </w:p>
    <w:p w14:paraId="7F22916F" w14:textId="18B3DABE" w:rsidR="00B362D1" w:rsidRPr="00D16B79" w:rsidRDefault="006127C8" w:rsidP="001F2D46">
      <w:pPr>
        <w:spacing w:line="480" w:lineRule="auto"/>
        <w:ind w:firstLine="720"/>
        <w:rPr>
          <w:lang w:val="en-US"/>
        </w:rPr>
      </w:pPr>
      <w:r w:rsidRPr="00D16B79">
        <w:rPr>
          <w:lang w:val="en-US"/>
        </w:rPr>
        <w:t>We</w:t>
      </w:r>
      <w:r w:rsidR="000C2C21" w:rsidRPr="00D16B79">
        <w:rPr>
          <w:lang w:val="en-US"/>
        </w:rPr>
        <w:t xml:space="preserve"> then focused on the separate evaluation conditions. A two-way ANOVA predicting amount given to the target organization from organization type (business vs. charity), evaluation type (SE far vs. SE close)</w:t>
      </w:r>
      <w:r w:rsidR="00BE59F3" w:rsidRPr="00D16B79">
        <w:rPr>
          <w:lang w:val="en-US"/>
        </w:rPr>
        <w:t>,</w:t>
      </w:r>
      <w:r w:rsidR="000C2C21" w:rsidRPr="00D16B79">
        <w:rPr>
          <w:lang w:val="en-US"/>
        </w:rPr>
        <w:t xml:space="preserve"> and their interaction showed that there was </w:t>
      </w:r>
      <w:r w:rsidR="00F832B9" w:rsidRPr="00D16B79">
        <w:rPr>
          <w:lang w:val="en-US"/>
        </w:rPr>
        <w:t xml:space="preserve">no main effect of organization type, </w:t>
      </w:r>
      <w:r w:rsidR="00F832B9" w:rsidRPr="00D16B79">
        <w:rPr>
          <w:i/>
          <w:iCs/>
          <w:lang w:val="en-US"/>
        </w:rPr>
        <w:t>p</w:t>
      </w:r>
      <w:r w:rsidR="00F832B9" w:rsidRPr="00D16B79">
        <w:rPr>
          <w:lang w:val="en-US"/>
        </w:rPr>
        <w:t xml:space="preserve"> = .19</w:t>
      </w:r>
      <w:r w:rsidR="00E67205" w:rsidRPr="00D16B79">
        <w:rPr>
          <w:lang w:val="en-US"/>
        </w:rPr>
        <w:t>,</w:t>
      </w:r>
      <w:r w:rsidR="00F832B9" w:rsidRPr="00D16B79">
        <w:rPr>
          <w:lang w:val="en-US"/>
        </w:rPr>
        <w:t xml:space="preserve"> and no </w:t>
      </w:r>
      <w:r w:rsidR="000C2C21" w:rsidRPr="00D16B79">
        <w:rPr>
          <w:lang w:val="en-US"/>
        </w:rPr>
        <w:t xml:space="preserve">interaction between organization and evaluation type in separate evaluation, </w:t>
      </w:r>
      <w:r w:rsidR="000C2C21" w:rsidRPr="00D16B79">
        <w:rPr>
          <w:i/>
          <w:iCs/>
          <w:lang w:val="en-US"/>
        </w:rPr>
        <w:t>p</w:t>
      </w:r>
      <w:r w:rsidR="000C2C21" w:rsidRPr="00D16B79">
        <w:rPr>
          <w:lang w:val="en-US"/>
        </w:rPr>
        <w:t xml:space="preserve"> = .</w:t>
      </w:r>
      <w:r w:rsidR="00F832B9" w:rsidRPr="00D16B79">
        <w:rPr>
          <w:lang w:val="en-US"/>
        </w:rPr>
        <w:t>92</w:t>
      </w:r>
      <w:r w:rsidR="000C2C21" w:rsidRPr="00D16B79">
        <w:rPr>
          <w:lang w:val="en-US"/>
        </w:rPr>
        <w:t xml:space="preserve">. Consistent with the goal gradient hypothesis, however, there was a main effect of evaluation type, </w:t>
      </w:r>
      <w:r w:rsidR="00F832B9" w:rsidRPr="00D16B79">
        <w:rPr>
          <w:lang w:val="en-US"/>
        </w:rPr>
        <w:t xml:space="preserve">F(1, 324) = 5.68, </w:t>
      </w:r>
      <w:r w:rsidR="00F832B9" w:rsidRPr="00D16B79">
        <w:rPr>
          <w:i/>
          <w:lang w:val="en-US"/>
        </w:rPr>
        <w:t>p</w:t>
      </w:r>
      <w:r w:rsidR="00F832B9" w:rsidRPr="00D16B79">
        <w:rPr>
          <w:lang w:val="en-US"/>
        </w:rPr>
        <w:t xml:space="preserve"> = .02</w:t>
      </w:r>
      <w:r w:rsidR="000C2C21" w:rsidRPr="00D16B79">
        <w:rPr>
          <w:lang w:val="en-US"/>
        </w:rPr>
        <w:t xml:space="preserve">, </w:t>
      </w:r>
      <w:r w:rsidR="004A1C1A" w:rsidRPr="00D16B79">
        <w:rPr>
          <w:lang w:val="en-US"/>
        </w:rPr>
        <w:t>and follow-up comparisons showed that</w:t>
      </w:r>
      <w:r w:rsidR="000C2C21" w:rsidRPr="00D16B79">
        <w:rPr>
          <w:lang w:val="en-US"/>
        </w:rPr>
        <w:t xml:space="preserve"> participants gave more overall when they evaluated a single organization that was closer to its goal</w:t>
      </w:r>
      <w:r w:rsidR="00C06553" w:rsidRPr="00D16B79">
        <w:rPr>
          <w:lang w:val="en-US"/>
        </w:rPr>
        <w:t xml:space="preserve"> (M = 46.20) than f</w:t>
      </w:r>
      <w:r w:rsidR="00E67205" w:rsidRPr="00D16B79">
        <w:rPr>
          <w:lang w:val="en-US"/>
        </w:rPr>
        <w:t>a</w:t>
      </w:r>
      <w:r w:rsidR="00C06553" w:rsidRPr="00D16B79">
        <w:rPr>
          <w:lang w:val="en-US"/>
        </w:rPr>
        <w:t>rther from its goal (M = 38.55)</w:t>
      </w:r>
      <w:r w:rsidR="000C2C21" w:rsidRPr="00D16B79">
        <w:rPr>
          <w:lang w:val="en-US"/>
        </w:rPr>
        <w:t>.</w:t>
      </w:r>
    </w:p>
    <w:p w14:paraId="686BB214" w14:textId="0207E04C" w:rsidR="003E11E6" w:rsidRPr="00D16B79" w:rsidRDefault="003E11E6" w:rsidP="00D96A32">
      <w:pPr>
        <w:pStyle w:val="Caption"/>
        <w:keepNext/>
        <w:spacing w:line="240" w:lineRule="auto"/>
        <w:ind w:firstLine="0"/>
        <w:rPr>
          <w:b w:val="0"/>
        </w:rPr>
      </w:pPr>
      <w:r w:rsidRPr="00D16B79">
        <w:rPr>
          <w:b w:val="0"/>
        </w:rPr>
        <w:lastRenderedPageBreak/>
        <w:t xml:space="preserve">Figure </w:t>
      </w:r>
      <w:r w:rsidR="00D96A32" w:rsidRPr="00D16B79">
        <w:rPr>
          <w:b w:val="0"/>
        </w:rPr>
        <w:t xml:space="preserve">4: </w:t>
      </w:r>
      <w:r w:rsidR="000366D2" w:rsidRPr="00D16B79">
        <w:rPr>
          <w:b w:val="0"/>
        </w:rPr>
        <w:t xml:space="preserve">MEAN </w:t>
      </w:r>
      <w:r w:rsidR="003F3BEE" w:rsidRPr="00D16B79">
        <w:rPr>
          <w:b w:val="0"/>
        </w:rPr>
        <w:t>AMOUNT GIVEN TO CHARITY VS. BUSINESS</w:t>
      </w:r>
      <w:r w:rsidRPr="00D16B79">
        <w:rPr>
          <w:b w:val="0"/>
        </w:rPr>
        <w:t xml:space="preserve"> IN JE VS</w:t>
      </w:r>
      <w:r w:rsidR="00BE59F3" w:rsidRPr="00D16B79">
        <w:rPr>
          <w:b w:val="0"/>
        </w:rPr>
        <w:t>.</w:t>
      </w:r>
      <w:r w:rsidRPr="00D16B79">
        <w:rPr>
          <w:b w:val="0"/>
        </w:rPr>
        <w:t xml:space="preserve"> SE</w:t>
      </w:r>
      <w:r w:rsidR="008B462B" w:rsidRPr="00D16B79">
        <w:rPr>
          <w:b w:val="0"/>
        </w:rPr>
        <w:t xml:space="preserve"> IN STUDY </w:t>
      </w:r>
      <w:r w:rsidR="00A718EB" w:rsidRPr="00D16B79">
        <w:rPr>
          <w:b w:val="0"/>
        </w:rPr>
        <w:t>4</w:t>
      </w:r>
    </w:p>
    <w:p w14:paraId="42A9B04B" w14:textId="454056DE" w:rsidR="00505660" w:rsidRPr="00D16B79" w:rsidRDefault="00232565" w:rsidP="001F1F58">
      <w:pPr>
        <w:jc w:val="center"/>
        <w:rPr>
          <w:lang w:val="en-US"/>
        </w:rPr>
      </w:pPr>
      <w:r w:rsidRPr="00D16B79">
        <w:rPr>
          <w:noProof/>
          <w:lang w:val="en-US"/>
        </w:rPr>
        <w:drawing>
          <wp:inline distT="0" distB="0" distL="0" distR="0" wp14:anchorId="35163262" wp14:editId="2F97AFD8">
            <wp:extent cx="4673600" cy="2806700"/>
            <wp:effectExtent l="0" t="0" r="12700" b="12700"/>
            <wp:docPr id="13" name="Chart 13">
              <a:extLst xmlns:a="http://schemas.openxmlformats.org/drawingml/2006/main">
                <a:ext uri="{FF2B5EF4-FFF2-40B4-BE49-F238E27FC236}">
                  <a16:creationId xmlns:a16="http://schemas.microsoft.com/office/drawing/2014/main" id="{074AE4B1-7D52-443A-BDAD-B26EB531E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823EED" w14:textId="20B506B5" w:rsidR="001F1F58" w:rsidRPr="00D16B79" w:rsidRDefault="001F1F58" w:rsidP="001F1F58">
      <w:pPr>
        <w:spacing w:line="276" w:lineRule="auto"/>
        <w:rPr>
          <w:i/>
          <w:sz w:val="18"/>
          <w:szCs w:val="18"/>
          <w:lang w:val="en-US"/>
        </w:rPr>
      </w:pPr>
      <w:r w:rsidRPr="00D16B79">
        <w:rPr>
          <w:i/>
          <w:sz w:val="18"/>
          <w:szCs w:val="18"/>
          <w:lang w:val="en-US"/>
        </w:rPr>
        <w:t>Note: Error bars represent ±1 standard error.</w:t>
      </w:r>
    </w:p>
    <w:p w14:paraId="5BCF03ED" w14:textId="77777777" w:rsidR="001F1F58" w:rsidRPr="00D16B79" w:rsidRDefault="001F1F58" w:rsidP="001F1F58">
      <w:pPr>
        <w:spacing w:line="276" w:lineRule="auto"/>
        <w:rPr>
          <w:i/>
          <w:sz w:val="18"/>
          <w:szCs w:val="18"/>
          <w:lang w:val="en-US"/>
        </w:rPr>
      </w:pPr>
    </w:p>
    <w:p w14:paraId="6C4CCA6E" w14:textId="5BE804E8" w:rsidR="000C2C21" w:rsidRPr="00D16B79" w:rsidRDefault="000C2C21" w:rsidP="000F1855">
      <w:pPr>
        <w:spacing w:line="480" w:lineRule="auto"/>
        <w:ind w:firstLine="720"/>
        <w:rPr>
          <w:lang w:val="en-US"/>
        </w:rPr>
      </w:pPr>
      <w:r w:rsidRPr="00D16B79">
        <w:rPr>
          <w:i/>
          <w:iCs/>
          <w:lang w:val="en-US"/>
        </w:rPr>
        <w:t>Mediation</w:t>
      </w:r>
      <w:r w:rsidRPr="00D16B79">
        <w:rPr>
          <w:lang w:val="en-US"/>
        </w:rPr>
        <w:t>.</w:t>
      </w:r>
      <w:r w:rsidR="00AE505D" w:rsidRPr="00D16B79">
        <w:rPr>
          <w:lang w:val="en-US"/>
        </w:rPr>
        <w:t xml:space="preserve"> </w:t>
      </w:r>
      <w:r w:rsidR="00881B90" w:rsidRPr="00D16B79">
        <w:rPr>
          <w:lang w:val="en-US"/>
        </w:rPr>
        <w:t>In order to assess levels of need</w:t>
      </w:r>
      <w:r w:rsidR="00651F3D" w:rsidRPr="00D16B79">
        <w:rPr>
          <w:lang w:val="en-US"/>
        </w:rPr>
        <w:t>,</w:t>
      </w:r>
      <w:r w:rsidR="00881B90" w:rsidRPr="00D16B79">
        <w:rPr>
          <w:lang w:val="en-US"/>
        </w:rPr>
        <w:t xml:space="preserve"> we looked at the effect of separate v</w:t>
      </w:r>
      <w:r w:rsidR="00BE59F3" w:rsidRPr="00D16B79">
        <w:rPr>
          <w:lang w:val="en-US"/>
        </w:rPr>
        <w:t>ersus</w:t>
      </w:r>
      <w:r w:rsidR="00881B90" w:rsidRPr="00D16B79">
        <w:rPr>
          <w:lang w:val="en-US"/>
        </w:rPr>
        <w:t xml:space="preserve"> joint evaluation for each type of organization individually. As expected, when evaluat</w:t>
      </w:r>
      <w:r w:rsidR="004163D4" w:rsidRPr="00D16B79">
        <w:rPr>
          <w:lang w:val="en-US"/>
        </w:rPr>
        <w:t>ing</w:t>
      </w:r>
      <w:r w:rsidR="00881B90" w:rsidRPr="00D16B79">
        <w:rPr>
          <w:lang w:val="en-US"/>
        </w:rPr>
        <w:t xml:space="preserve"> jointly</w:t>
      </w:r>
      <w:r w:rsidR="004163D4" w:rsidRPr="00D16B79">
        <w:rPr>
          <w:lang w:val="en-US"/>
        </w:rPr>
        <w:t>,</w:t>
      </w:r>
      <w:r w:rsidR="00881B90" w:rsidRPr="00D16B79">
        <w:rPr>
          <w:lang w:val="en-US"/>
        </w:rPr>
        <w:t xml:space="preserve"> participants felt the charity </w:t>
      </w:r>
      <w:r w:rsidR="003C404E" w:rsidRPr="00D16B79">
        <w:rPr>
          <w:lang w:val="en-US"/>
        </w:rPr>
        <w:t>farther</w:t>
      </w:r>
      <w:r w:rsidR="00881B90" w:rsidRPr="00D16B79">
        <w:rPr>
          <w:lang w:val="en-US"/>
        </w:rPr>
        <w:t xml:space="preserve"> from its goal was relatively more in need (M = </w:t>
      </w:r>
      <w:r w:rsidR="00C06553" w:rsidRPr="00D16B79">
        <w:rPr>
          <w:lang w:val="en-US"/>
        </w:rPr>
        <w:t>5.32</w:t>
      </w:r>
      <w:r w:rsidR="00881B90" w:rsidRPr="00D16B79">
        <w:rPr>
          <w:lang w:val="en-US"/>
        </w:rPr>
        <w:t xml:space="preserve">) than the one closer to its goal (M = </w:t>
      </w:r>
      <w:r w:rsidR="00C06553" w:rsidRPr="00D16B79">
        <w:rPr>
          <w:lang w:val="en-US"/>
        </w:rPr>
        <w:t>4.47</w:t>
      </w:r>
      <w:r w:rsidR="00881B90" w:rsidRPr="00D16B79">
        <w:rPr>
          <w:lang w:val="en-US"/>
        </w:rPr>
        <w:t>), t(</w:t>
      </w:r>
      <w:r w:rsidR="00C06553" w:rsidRPr="00D16B79">
        <w:rPr>
          <w:lang w:val="en-US"/>
        </w:rPr>
        <w:t>75</w:t>
      </w:r>
      <w:r w:rsidR="00881B90" w:rsidRPr="00D16B79">
        <w:rPr>
          <w:lang w:val="en-US"/>
        </w:rPr>
        <w:t xml:space="preserve">) = </w:t>
      </w:r>
      <w:r w:rsidR="00C06553" w:rsidRPr="00D16B79">
        <w:rPr>
          <w:lang w:val="en-US"/>
        </w:rPr>
        <w:t>2.50</w:t>
      </w:r>
      <w:r w:rsidR="00881B90" w:rsidRPr="00D16B79">
        <w:rPr>
          <w:lang w:val="en-US"/>
        </w:rPr>
        <w:t xml:space="preserve">, </w:t>
      </w:r>
      <w:r w:rsidR="00881B90" w:rsidRPr="00D16B79">
        <w:rPr>
          <w:i/>
          <w:iCs/>
          <w:lang w:val="en-US"/>
        </w:rPr>
        <w:t>p</w:t>
      </w:r>
      <w:r w:rsidR="00881B90" w:rsidRPr="00D16B79">
        <w:rPr>
          <w:lang w:val="en-US"/>
        </w:rPr>
        <w:t xml:space="preserve"> = .0</w:t>
      </w:r>
      <w:r w:rsidR="00BA27EB" w:rsidRPr="00D16B79">
        <w:rPr>
          <w:lang w:val="en-US"/>
        </w:rPr>
        <w:t>1</w:t>
      </w:r>
      <w:r w:rsidR="00881B90" w:rsidRPr="00D16B79">
        <w:rPr>
          <w:lang w:val="en-US"/>
        </w:rPr>
        <w:t xml:space="preserve">. However, there were no differences in perceived need for the charity closer to (M = </w:t>
      </w:r>
      <w:r w:rsidR="00C06553" w:rsidRPr="00D16B79">
        <w:rPr>
          <w:lang w:val="en-US"/>
        </w:rPr>
        <w:t>4.16</w:t>
      </w:r>
      <w:r w:rsidR="00881B90" w:rsidRPr="00D16B79">
        <w:rPr>
          <w:lang w:val="en-US"/>
        </w:rPr>
        <w:t>) v</w:t>
      </w:r>
      <w:r w:rsidR="004163D4" w:rsidRPr="00D16B79">
        <w:rPr>
          <w:lang w:val="en-US"/>
        </w:rPr>
        <w:t>ersus</w:t>
      </w:r>
      <w:r w:rsidR="00881B90" w:rsidRPr="00D16B79">
        <w:rPr>
          <w:lang w:val="en-US"/>
        </w:rPr>
        <w:t xml:space="preserve"> </w:t>
      </w:r>
      <w:r w:rsidR="003C404E" w:rsidRPr="00D16B79">
        <w:rPr>
          <w:lang w:val="en-US"/>
        </w:rPr>
        <w:t>farther</w:t>
      </w:r>
      <w:r w:rsidR="00881B90" w:rsidRPr="00D16B79">
        <w:rPr>
          <w:lang w:val="en-US"/>
        </w:rPr>
        <w:t xml:space="preserve"> from (M = 4.13) its goal when they were evaluated separately, </w:t>
      </w:r>
      <w:r w:rsidR="00881B90" w:rsidRPr="00D16B79">
        <w:rPr>
          <w:i/>
          <w:iCs/>
          <w:lang w:val="en-US"/>
        </w:rPr>
        <w:t>p</w:t>
      </w:r>
      <w:r w:rsidR="00881B90" w:rsidRPr="00D16B79">
        <w:rPr>
          <w:lang w:val="en-US"/>
        </w:rPr>
        <w:t xml:space="preserve"> = .</w:t>
      </w:r>
      <w:r w:rsidR="00C06553" w:rsidRPr="00D16B79">
        <w:rPr>
          <w:lang w:val="en-US"/>
        </w:rPr>
        <w:t>89</w:t>
      </w:r>
      <w:r w:rsidR="00881B90" w:rsidRPr="00D16B79">
        <w:rPr>
          <w:lang w:val="en-US"/>
        </w:rPr>
        <w:t xml:space="preserve">. </w:t>
      </w:r>
      <w:r w:rsidR="00C06553" w:rsidRPr="00D16B79">
        <w:rPr>
          <w:lang w:val="en-US"/>
        </w:rPr>
        <w:t xml:space="preserve">Participants also </w:t>
      </w:r>
      <w:r w:rsidR="00AA126C" w:rsidRPr="00D16B79">
        <w:rPr>
          <w:lang w:val="en-US"/>
        </w:rPr>
        <w:t xml:space="preserve">thought </w:t>
      </w:r>
      <w:r w:rsidR="00C06553" w:rsidRPr="00D16B79">
        <w:rPr>
          <w:lang w:val="en-US"/>
        </w:rPr>
        <w:t>the business farther from its goal was relatively more in need than the one closer to its goal in both joint evaluation (</w:t>
      </w:r>
      <w:proofErr w:type="spellStart"/>
      <w:r w:rsidR="00C06553" w:rsidRPr="00D16B79">
        <w:rPr>
          <w:lang w:val="en-US"/>
        </w:rPr>
        <w:t>M</w:t>
      </w:r>
      <w:r w:rsidR="00C06553" w:rsidRPr="00D16B79">
        <w:rPr>
          <w:vertAlign w:val="subscript"/>
          <w:lang w:val="en-US"/>
        </w:rPr>
        <w:t>far</w:t>
      </w:r>
      <w:proofErr w:type="spellEnd"/>
      <w:r w:rsidR="00C06553" w:rsidRPr="00D16B79">
        <w:rPr>
          <w:lang w:val="en-US"/>
        </w:rPr>
        <w:t xml:space="preserve"> = 5.15 vs </w:t>
      </w:r>
      <w:proofErr w:type="spellStart"/>
      <w:r w:rsidR="00C06553" w:rsidRPr="00D16B79">
        <w:rPr>
          <w:lang w:val="en-US"/>
        </w:rPr>
        <w:t>M</w:t>
      </w:r>
      <w:r w:rsidR="00C06553" w:rsidRPr="00D16B79">
        <w:rPr>
          <w:vertAlign w:val="subscript"/>
          <w:lang w:val="en-US"/>
        </w:rPr>
        <w:t>close</w:t>
      </w:r>
      <w:proofErr w:type="spellEnd"/>
      <w:r w:rsidR="00C06553" w:rsidRPr="00D16B79">
        <w:rPr>
          <w:lang w:val="en-US"/>
        </w:rPr>
        <w:t xml:space="preserve"> = 4.23), t(81) = 3.27, </w:t>
      </w:r>
      <w:r w:rsidR="00C06553" w:rsidRPr="00D16B79">
        <w:rPr>
          <w:i/>
          <w:lang w:val="en-US"/>
        </w:rPr>
        <w:t>p</w:t>
      </w:r>
      <w:r w:rsidR="00C06553" w:rsidRPr="00D16B79">
        <w:rPr>
          <w:lang w:val="en-US"/>
        </w:rPr>
        <w:t xml:space="preserve"> = .002, and separate evaluation, (</w:t>
      </w:r>
      <w:proofErr w:type="spellStart"/>
      <w:r w:rsidR="00C06553" w:rsidRPr="00D16B79">
        <w:rPr>
          <w:lang w:val="en-US"/>
        </w:rPr>
        <w:t>M</w:t>
      </w:r>
      <w:r w:rsidR="00C06553" w:rsidRPr="00D16B79">
        <w:rPr>
          <w:vertAlign w:val="subscript"/>
          <w:lang w:val="en-US"/>
        </w:rPr>
        <w:t>far</w:t>
      </w:r>
      <w:proofErr w:type="spellEnd"/>
      <w:r w:rsidR="00C06553" w:rsidRPr="00D16B79">
        <w:rPr>
          <w:lang w:val="en-US"/>
        </w:rPr>
        <w:t xml:space="preserve"> = 4.25 vs </w:t>
      </w:r>
      <w:proofErr w:type="spellStart"/>
      <w:r w:rsidR="00C06553" w:rsidRPr="00D16B79">
        <w:rPr>
          <w:lang w:val="en-US"/>
        </w:rPr>
        <w:t>M</w:t>
      </w:r>
      <w:r w:rsidR="00C06553" w:rsidRPr="00D16B79">
        <w:rPr>
          <w:vertAlign w:val="subscript"/>
          <w:lang w:val="en-US"/>
        </w:rPr>
        <w:t>close</w:t>
      </w:r>
      <w:proofErr w:type="spellEnd"/>
      <w:r w:rsidR="00C06553" w:rsidRPr="00D16B79">
        <w:rPr>
          <w:lang w:val="en-US"/>
        </w:rPr>
        <w:t xml:space="preserve"> = 3.67), t(168) = 2.26, </w:t>
      </w:r>
      <w:r w:rsidR="00C06553" w:rsidRPr="00D16B79">
        <w:rPr>
          <w:i/>
          <w:lang w:val="en-US"/>
        </w:rPr>
        <w:t>p</w:t>
      </w:r>
      <w:r w:rsidR="00C06553" w:rsidRPr="00D16B79">
        <w:rPr>
          <w:lang w:val="en-US"/>
        </w:rPr>
        <w:t xml:space="preserve"> = .03.</w:t>
      </w:r>
      <w:r w:rsidR="00537C5E" w:rsidRPr="00D16B79">
        <w:rPr>
          <w:lang w:val="en-US"/>
        </w:rPr>
        <w:t xml:space="preserve"> </w:t>
      </w:r>
      <w:r w:rsidR="000F1855" w:rsidRPr="00D16B79">
        <w:rPr>
          <w:lang w:val="en-US"/>
        </w:rPr>
        <w:t>We</w:t>
      </w:r>
      <w:r w:rsidRPr="00D16B79">
        <w:rPr>
          <w:lang w:val="en-US"/>
        </w:rPr>
        <w:t xml:space="preserve"> analyzed the mediating role of perceptions of need </w:t>
      </w:r>
      <w:r w:rsidR="00C06553" w:rsidRPr="00D16B79">
        <w:rPr>
          <w:lang w:val="en-US"/>
        </w:rPr>
        <w:t xml:space="preserve">on donation intentions </w:t>
      </w:r>
      <w:r w:rsidRPr="00D16B79">
        <w:rPr>
          <w:lang w:val="en-US"/>
        </w:rPr>
        <w:t>using the MEMORE macro for within-subject</w:t>
      </w:r>
      <w:r w:rsidR="00336F3A" w:rsidRPr="00D16B79">
        <w:rPr>
          <w:lang w:val="en-US"/>
        </w:rPr>
        <w:t>s</w:t>
      </w:r>
      <w:r w:rsidRPr="00D16B79">
        <w:rPr>
          <w:lang w:val="en-US"/>
        </w:rPr>
        <w:t xml:space="preserve"> data with 5</w:t>
      </w:r>
      <w:r w:rsidR="004163D4" w:rsidRPr="00D16B79">
        <w:rPr>
          <w:lang w:val="en-US"/>
        </w:rPr>
        <w:t>,</w:t>
      </w:r>
      <w:r w:rsidRPr="00D16B79">
        <w:rPr>
          <w:lang w:val="en-US"/>
        </w:rPr>
        <w:t xml:space="preserve">000 bootstrap samples. </w:t>
      </w:r>
      <w:r w:rsidR="00C06553" w:rsidRPr="00D16B79">
        <w:rPr>
          <w:lang w:val="en-US"/>
        </w:rPr>
        <w:t>This</w:t>
      </w:r>
      <w:r w:rsidRPr="00D16B79">
        <w:rPr>
          <w:lang w:val="en-US"/>
        </w:rPr>
        <w:t xml:space="preserve"> revealed a significant indirect effect</w:t>
      </w:r>
      <w:r w:rsidR="00642E60">
        <w:rPr>
          <w:lang w:val="en-US"/>
        </w:rPr>
        <w:t>; the charity farther from (vs. closer to) its goal was perceived as more in need, leading to greater</w:t>
      </w:r>
      <w:r w:rsidRPr="00D16B79">
        <w:rPr>
          <w:lang w:val="en-US"/>
        </w:rPr>
        <w:t xml:space="preserve"> likelihood of giving</w:t>
      </w:r>
      <w:r w:rsidR="00642E60">
        <w:rPr>
          <w:lang w:val="en-US"/>
        </w:rPr>
        <w:t>,</w:t>
      </w:r>
      <w:r w:rsidRPr="00D16B79">
        <w:rPr>
          <w:lang w:val="en-US"/>
        </w:rPr>
        <w:t xml:space="preserve"> </w:t>
      </w:r>
      <w:bookmarkStart w:id="23" w:name="_Hlk111552357"/>
      <w:r w:rsidRPr="00D16B79">
        <w:rPr>
          <w:lang w:val="en-US"/>
        </w:rPr>
        <w:t xml:space="preserve">B = </w:t>
      </w:r>
      <w:r w:rsidR="00C06553" w:rsidRPr="00D16B79">
        <w:rPr>
          <w:lang w:val="en-US"/>
        </w:rPr>
        <w:t>9.40</w:t>
      </w:r>
      <w:r w:rsidRPr="00D16B79">
        <w:rPr>
          <w:lang w:val="en-US"/>
        </w:rPr>
        <w:t xml:space="preserve">, SE = </w:t>
      </w:r>
      <w:r w:rsidR="00C06553" w:rsidRPr="00D16B79">
        <w:rPr>
          <w:lang w:val="en-US"/>
        </w:rPr>
        <w:t>4.32</w:t>
      </w:r>
      <w:r w:rsidRPr="00D16B79">
        <w:rPr>
          <w:lang w:val="en-US"/>
        </w:rPr>
        <w:t xml:space="preserve">, </w:t>
      </w:r>
      <w:bookmarkEnd w:id="23"/>
      <w:r w:rsidRPr="00D16B79">
        <w:rPr>
          <w:lang w:val="en-US"/>
        </w:rPr>
        <w:t>95% CI [</w:t>
      </w:r>
      <w:r w:rsidR="00C06553" w:rsidRPr="00D16B79">
        <w:rPr>
          <w:lang w:val="en-US"/>
        </w:rPr>
        <w:t>1.77</w:t>
      </w:r>
      <w:r w:rsidRPr="00D16B79">
        <w:rPr>
          <w:lang w:val="en-US"/>
        </w:rPr>
        <w:t xml:space="preserve">, </w:t>
      </w:r>
      <w:r w:rsidR="00C06553" w:rsidRPr="00D16B79">
        <w:rPr>
          <w:lang w:val="en-US"/>
        </w:rPr>
        <w:t>18.</w:t>
      </w:r>
      <w:r w:rsidR="005E1649" w:rsidRPr="00D16B79">
        <w:rPr>
          <w:lang w:val="en-US"/>
        </w:rPr>
        <w:t>48</w:t>
      </w:r>
      <w:r w:rsidRPr="00D16B79">
        <w:rPr>
          <w:lang w:val="en-US"/>
        </w:rPr>
        <w:t>]</w:t>
      </w:r>
      <w:r w:rsidR="00C06553" w:rsidRPr="00D16B79">
        <w:rPr>
          <w:lang w:val="en-US"/>
        </w:rPr>
        <w:t>, in jo</w:t>
      </w:r>
      <w:r w:rsidR="0024548C" w:rsidRPr="00D16B79">
        <w:rPr>
          <w:lang w:val="en-US"/>
        </w:rPr>
        <w:t>i</w:t>
      </w:r>
      <w:r w:rsidR="00C06553" w:rsidRPr="00D16B79">
        <w:rPr>
          <w:lang w:val="en-US"/>
        </w:rPr>
        <w:t>nt evaluation</w:t>
      </w:r>
      <w:r w:rsidRPr="00D16B79">
        <w:rPr>
          <w:lang w:val="en-US"/>
        </w:rPr>
        <w:t xml:space="preserve">. </w:t>
      </w:r>
      <w:r w:rsidR="004B69AE" w:rsidRPr="00D16B79">
        <w:rPr>
          <w:lang w:val="en-US"/>
        </w:rPr>
        <w:t xml:space="preserve">We </w:t>
      </w:r>
      <w:r w:rsidR="008260F5" w:rsidRPr="00D16B79">
        <w:rPr>
          <w:lang w:val="en-US"/>
        </w:rPr>
        <w:t xml:space="preserve">found no mediation </w:t>
      </w:r>
      <w:r w:rsidR="001548E0" w:rsidRPr="00D16B79">
        <w:rPr>
          <w:lang w:val="en-US"/>
        </w:rPr>
        <w:t xml:space="preserve">by </w:t>
      </w:r>
      <w:r w:rsidR="004B69AE" w:rsidRPr="00D16B79">
        <w:rPr>
          <w:lang w:val="en-US"/>
        </w:rPr>
        <w:t xml:space="preserve">impact </w:t>
      </w:r>
      <w:r w:rsidR="00336F3A" w:rsidRPr="00D16B79">
        <w:rPr>
          <w:lang w:val="en-US"/>
        </w:rPr>
        <w:t xml:space="preserve">(see </w:t>
      </w:r>
      <w:r w:rsidR="004B69AE" w:rsidRPr="00D16B79">
        <w:rPr>
          <w:lang w:val="en-US"/>
        </w:rPr>
        <w:t>Web Appendix</w:t>
      </w:r>
      <w:r w:rsidR="00C071EF" w:rsidRPr="00D16B79">
        <w:rPr>
          <w:lang w:val="en-US"/>
        </w:rPr>
        <w:t xml:space="preserve"> B</w:t>
      </w:r>
      <w:r w:rsidR="00336F3A" w:rsidRPr="00D16B79">
        <w:rPr>
          <w:lang w:val="en-US"/>
        </w:rPr>
        <w:t>)</w:t>
      </w:r>
      <w:r w:rsidR="004B69AE" w:rsidRPr="00D16B79">
        <w:rPr>
          <w:lang w:val="en-US"/>
        </w:rPr>
        <w:t>.</w:t>
      </w:r>
      <w:r w:rsidRPr="00D16B79">
        <w:rPr>
          <w:lang w:val="en-US"/>
        </w:rPr>
        <w:t xml:space="preserve"> </w:t>
      </w:r>
    </w:p>
    <w:p w14:paraId="426D3C26" w14:textId="01C9A867" w:rsidR="000C2C21" w:rsidRPr="00D16B79" w:rsidRDefault="000C2C21" w:rsidP="00F55739">
      <w:pPr>
        <w:pStyle w:val="Heading2"/>
      </w:pPr>
      <w:bookmarkStart w:id="24" w:name="_Toc80895591"/>
      <w:r w:rsidRPr="00D16B79">
        <w:lastRenderedPageBreak/>
        <w:t>Discussion</w:t>
      </w:r>
      <w:bookmarkEnd w:id="24"/>
    </w:p>
    <w:p w14:paraId="2A95489E" w14:textId="6B47B2A3" w:rsidR="009D4D3B" w:rsidRDefault="000C2C21" w:rsidP="00E167AA">
      <w:pPr>
        <w:spacing w:line="480" w:lineRule="auto"/>
        <w:ind w:firstLine="720"/>
        <w:rPr>
          <w:lang w:val="en-US"/>
        </w:rPr>
      </w:pPr>
      <w:r w:rsidRPr="00D16B79">
        <w:rPr>
          <w:lang w:val="en-US"/>
        </w:rPr>
        <w:t xml:space="preserve">This study demonstrates the moderating role of organization type, showing that the previously established effect of giving to an organization </w:t>
      </w:r>
      <w:r w:rsidR="003C404E" w:rsidRPr="00D16B79">
        <w:rPr>
          <w:lang w:val="en-US"/>
        </w:rPr>
        <w:t>farther</w:t>
      </w:r>
      <w:r w:rsidRPr="00D16B79">
        <w:rPr>
          <w:lang w:val="en-US"/>
        </w:rPr>
        <w:t xml:space="preserve"> from its goal in joint evaluation emerges when the organization is a charitable one</w:t>
      </w:r>
      <w:r w:rsidR="00537C5E" w:rsidRPr="00D16B79">
        <w:rPr>
          <w:lang w:val="en-US"/>
        </w:rPr>
        <w:t xml:space="preserve"> helping those without resources</w:t>
      </w:r>
      <w:r w:rsidR="002213A1" w:rsidRPr="00D16B79">
        <w:rPr>
          <w:lang w:val="en-US"/>
        </w:rPr>
        <w:t>,</w:t>
      </w:r>
      <w:r w:rsidR="005D0FB1" w:rsidRPr="00D16B79">
        <w:rPr>
          <w:lang w:val="en-US"/>
        </w:rPr>
        <w:t xml:space="preserve"> but</w:t>
      </w:r>
      <w:r w:rsidR="002213A1" w:rsidRPr="00D16B79">
        <w:rPr>
          <w:lang w:val="en-US"/>
        </w:rPr>
        <w:t xml:space="preserve"> </w:t>
      </w:r>
      <w:r w:rsidRPr="00D16B79">
        <w:rPr>
          <w:lang w:val="en-US"/>
        </w:rPr>
        <w:t>not when it is a for-profit</w:t>
      </w:r>
      <w:r w:rsidR="00A33F19" w:rsidRPr="00D16B79">
        <w:rPr>
          <w:lang w:val="en-US"/>
        </w:rPr>
        <w:t xml:space="preserve"> business</w:t>
      </w:r>
      <w:r w:rsidR="00832A09" w:rsidRPr="00D16B79">
        <w:rPr>
          <w:lang w:val="en-US"/>
        </w:rPr>
        <w:t xml:space="preserve"> that is framed as </w:t>
      </w:r>
      <w:r w:rsidR="005D0FB1" w:rsidRPr="00D16B79">
        <w:rPr>
          <w:lang w:val="en-US"/>
        </w:rPr>
        <w:t xml:space="preserve">selling products to </w:t>
      </w:r>
      <w:r w:rsidR="00DF7C13" w:rsidRPr="00D16B79">
        <w:rPr>
          <w:lang w:val="en-US"/>
        </w:rPr>
        <w:t>consumers</w:t>
      </w:r>
      <w:r w:rsidRPr="00D16B79">
        <w:rPr>
          <w:lang w:val="en-US"/>
        </w:rPr>
        <w:t xml:space="preserve">. </w:t>
      </w:r>
      <w:r w:rsidR="002213A1" w:rsidRPr="00D16B79">
        <w:rPr>
          <w:lang w:val="en-US"/>
        </w:rPr>
        <w:t>We</w:t>
      </w:r>
      <w:r w:rsidRPr="00D16B79">
        <w:rPr>
          <w:lang w:val="en-US"/>
        </w:rPr>
        <w:t xml:space="preserve"> theorize that </w:t>
      </w:r>
      <w:r w:rsidR="00832A09" w:rsidRPr="00D16B79">
        <w:rPr>
          <w:lang w:val="en-US"/>
        </w:rPr>
        <w:t xml:space="preserve">one condition under which people will </w:t>
      </w:r>
      <w:r w:rsidRPr="00D16B79">
        <w:rPr>
          <w:lang w:val="en-US"/>
        </w:rPr>
        <w:t>base their resource</w:t>
      </w:r>
      <w:r w:rsidR="00651F3D" w:rsidRPr="00D16B79">
        <w:rPr>
          <w:lang w:val="en-US"/>
        </w:rPr>
        <w:t>-</w:t>
      </w:r>
      <w:r w:rsidRPr="00D16B79">
        <w:rPr>
          <w:lang w:val="en-US"/>
        </w:rPr>
        <w:t>allocation decisions on relative levels of need</w:t>
      </w:r>
      <w:r w:rsidR="00832A09" w:rsidRPr="00D16B79">
        <w:rPr>
          <w:lang w:val="en-US"/>
        </w:rPr>
        <w:t xml:space="preserve"> is when the context is more prosocial </w:t>
      </w:r>
      <w:r w:rsidR="00AB7401">
        <w:rPr>
          <w:lang w:val="en-US"/>
        </w:rPr>
        <w:t xml:space="preserve">in nature (as opposed to </w:t>
      </w:r>
      <w:r w:rsidR="003D2331" w:rsidRPr="00D16B79">
        <w:rPr>
          <w:lang w:val="en-US"/>
        </w:rPr>
        <w:t>profit</w:t>
      </w:r>
      <w:r w:rsidR="00AA126C" w:rsidRPr="00D16B79">
        <w:rPr>
          <w:lang w:val="en-US"/>
        </w:rPr>
        <w:t>-</w:t>
      </w:r>
      <w:r w:rsidR="003D2331" w:rsidRPr="00D16B79">
        <w:rPr>
          <w:lang w:val="en-US"/>
        </w:rPr>
        <w:t>based</w:t>
      </w:r>
      <w:r w:rsidR="00AB7401">
        <w:rPr>
          <w:lang w:val="en-US"/>
        </w:rPr>
        <w:t>)</w:t>
      </w:r>
      <w:r w:rsidRPr="00D16B79">
        <w:rPr>
          <w:lang w:val="en-US"/>
        </w:rPr>
        <w:t xml:space="preserve">. The results of this study </w:t>
      </w:r>
      <w:r w:rsidR="004D07CA" w:rsidRPr="00D16B79">
        <w:rPr>
          <w:lang w:val="en-US"/>
        </w:rPr>
        <w:t xml:space="preserve">are consistent </w:t>
      </w:r>
      <w:r w:rsidR="004163D4" w:rsidRPr="00D16B79">
        <w:rPr>
          <w:lang w:val="en-US"/>
        </w:rPr>
        <w:t xml:space="preserve">with </w:t>
      </w:r>
      <w:r w:rsidRPr="00D16B79">
        <w:rPr>
          <w:lang w:val="en-US"/>
        </w:rPr>
        <w:t xml:space="preserve">the conceptualization that </w:t>
      </w:r>
      <w:r w:rsidR="00495CB2" w:rsidRPr="00D16B79">
        <w:rPr>
          <w:lang w:val="en-US"/>
        </w:rPr>
        <w:t xml:space="preserve">in </w:t>
      </w:r>
      <w:r w:rsidR="00A8793F">
        <w:rPr>
          <w:lang w:val="en-US"/>
        </w:rPr>
        <w:t>contexts where the prosocial nature of the organizations is relatively more salient</w:t>
      </w:r>
      <w:r w:rsidR="00495CB2" w:rsidRPr="00D16B79">
        <w:rPr>
          <w:lang w:val="en-US"/>
        </w:rPr>
        <w:t xml:space="preserve">, people </w:t>
      </w:r>
      <w:r w:rsidR="00A8793F">
        <w:rPr>
          <w:lang w:val="en-US"/>
        </w:rPr>
        <w:t xml:space="preserve">will </w:t>
      </w:r>
      <w:r w:rsidR="00495CB2" w:rsidRPr="00D16B79">
        <w:rPr>
          <w:lang w:val="en-US"/>
        </w:rPr>
        <w:t xml:space="preserve">give </w:t>
      </w:r>
      <w:r w:rsidR="003D2331" w:rsidRPr="00D16B79">
        <w:rPr>
          <w:lang w:val="en-US"/>
        </w:rPr>
        <w:t>based</w:t>
      </w:r>
      <w:r w:rsidR="00495CB2" w:rsidRPr="00D16B79">
        <w:rPr>
          <w:lang w:val="en-US"/>
        </w:rPr>
        <w:t xml:space="preserve"> on relative need more</w:t>
      </w:r>
      <w:r w:rsidRPr="00D16B79">
        <w:rPr>
          <w:lang w:val="en-US"/>
        </w:rPr>
        <w:t xml:space="preserve"> than in</w:t>
      </w:r>
      <w:r w:rsidR="00495CB2" w:rsidRPr="00D16B79">
        <w:rPr>
          <w:lang w:val="en-US"/>
        </w:rPr>
        <w:t xml:space="preserve"> for-profit</w:t>
      </w:r>
      <w:r w:rsidRPr="00D16B79">
        <w:rPr>
          <w:lang w:val="en-US"/>
        </w:rPr>
        <w:t xml:space="preserve"> business context</w:t>
      </w:r>
      <w:r w:rsidR="003D2331" w:rsidRPr="00D16B79">
        <w:rPr>
          <w:lang w:val="en-US"/>
        </w:rPr>
        <w:t>s</w:t>
      </w:r>
      <w:r w:rsidRPr="00D16B79">
        <w:rPr>
          <w:lang w:val="en-US"/>
        </w:rPr>
        <w:t>.</w:t>
      </w:r>
      <w:r w:rsidR="00232565">
        <w:rPr>
          <w:lang w:val="en-US"/>
        </w:rPr>
        <w:t xml:space="preserve"> </w:t>
      </w:r>
      <w:r w:rsidRPr="00D16B79">
        <w:rPr>
          <w:lang w:val="en-US"/>
        </w:rPr>
        <w:t>In addition, this study further strengthen</w:t>
      </w:r>
      <w:r w:rsidR="00537C5E" w:rsidRPr="00D16B79">
        <w:rPr>
          <w:lang w:val="en-US"/>
        </w:rPr>
        <w:t>s</w:t>
      </w:r>
      <w:r w:rsidRPr="00D16B79">
        <w:rPr>
          <w:lang w:val="en-US"/>
        </w:rPr>
        <w:t xml:space="preserve"> support for the </w:t>
      </w:r>
      <w:r w:rsidR="00537C5E" w:rsidRPr="00D16B79">
        <w:rPr>
          <w:lang w:val="en-US"/>
        </w:rPr>
        <w:t>closing-the-gap</w:t>
      </w:r>
      <w:r w:rsidRPr="00D16B79">
        <w:rPr>
          <w:lang w:val="en-US"/>
        </w:rPr>
        <w:t xml:space="preserve"> effect</w:t>
      </w:r>
      <w:r w:rsidR="00316F6A" w:rsidRPr="00D16B79">
        <w:rPr>
          <w:lang w:val="en-US"/>
        </w:rPr>
        <w:t xml:space="preserve"> and </w:t>
      </w:r>
      <w:r w:rsidR="00537C5E" w:rsidRPr="00D16B79">
        <w:rPr>
          <w:lang w:val="en-US"/>
        </w:rPr>
        <w:t>finds support for</w:t>
      </w:r>
      <w:r w:rsidR="00316F6A" w:rsidRPr="00D16B79">
        <w:rPr>
          <w:lang w:val="en-US"/>
        </w:rPr>
        <w:t xml:space="preserve"> the</w:t>
      </w:r>
      <w:r w:rsidRPr="00D16B79">
        <w:rPr>
          <w:lang w:val="en-US"/>
        </w:rPr>
        <w:t xml:space="preserve"> goal gradient effect </w:t>
      </w:r>
      <w:r w:rsidR="00A134C7">
        <w:rPr>
          <w:lang w:val="en-US"/>
        </w:rPr>
        <w:t>in separate evaluations</w:t>
      </w:r>
      <w:r w:rsidRPr="00D16B79">
        <w:rPr>
          <w:lang w:val="en-US"/>
        </w:rPr>
        <w:t>.</w:t>
      </w:r>
      <w:r w:rsidR="00B73C48" w:rsidRPr="00D16B79">
        <w:rPr>
          <w:lang w:val="en-US"/>
        </w:rPr>
        <w:t xml:space="preserve"> </w:t>
      </w:r>
      <w:r w:rsidR="00AA126C" w:rsidRPr="00D16B79">
        <w:rPr>
          <w:lang w:val="en-US"/>
        </w:rPr>
        <w:t>Results</w:t>
      </w:r>
      <w:r w:rsidRPr="00D16B79">
        <w:rPr>
          <w:lang w:val="en-US"/>
        </w:rPr>
        <w:t xml:space="preserve"> suggest that while individuals and charities </w:t>
      </w:r>
      <w:r w:rsidR="00682245" w:rsidRPr="00D16B79">
        <w:rPr>
          <w:lang w:val="en-US"/>
        </w:rPr>
        <w:t xml:space="preserve">working </w:t>
      </w:r>
      <w:r w:rsidRPr="00D16B79">
        <w:rPr>
          <w:lang w:val="en-US"/>
        </w:rPr>
        <w:t xml:space="preserve">to raise money for a cause can benefit from comparisons with another individual or charity that has made greater progress towards its goal, the same </w:t>
      </w:r>
      <w:r w:rsidR="001273EF" w:rsidRPr="00D16B79">
        <w:rPr>
          <w:lang w:val="en-US"/>
        </w:rPr>
        <w:t xml:space="preserve">is not necessarily true for </w:t>
      </w:r>
      <w:r w:rsidR="00634AFD" w:rsidRPr="00D16B79">
        <w:rPr>
          <w:lang w:val="en-US"/>
        </w:rPr>
        <w:t xml:space="preserve">a </w:t>
      </w:r>
      <w:r w:rsidR="001273EF" w:rsidRPr="00D16B79">
        <w:rPr>
          <w:lang w:val="en-US"/>
        </w:rPr>
        <w:t>for-profit business that positions itself on making a profit</w:t>
      </w:r>
      <w:r w:rsidRPr="00D16B79">
        <w:rPr>
          <w:lang w:val="en-US"/>
        </w:rPr>
        <w:t xml:space="preserve">. </w:t>
      </w:r>
      <w:r w:rsidR="001273EF" w:rsidRPr="00D16B79">
        <w:rPr>
          <w:lang w:val="en-US"/>
        </w:rPr>
        <w:t>In our context, a</w:t>
      </w:r>
      <w:r w:rsidRPr="00D16B79">
        <w:rPr>
          <w:lang w:val="en-US"/>
        </w:rPr>
        <w:t xml:space="preserve"> for-profit business trying to raise funds, receive</w:t>
      </w:r>
      <w:r w:rsidR="001273EF" w:rsidRPr="00D16B79">
        <w:rPr>
          <w:lang w:val="en-US"/>
        </w:rPr>
        <w:t>d</w:t>
      </w:r>
      <w:r w:rsidRPr="00D16B79">
        <w:rPr>
          <w:lang w:val="en-US"/>
        </w:rPr>
        <w:t xml:space="preserve"> more funds when it </w:t>
      </w:r>
      <w:r w:rsidR="00634AFD" w:rsidRPr="00D16B79">
        <w:rPr>
          <w:lang w:val="en-US"/>
        </w:rPr>
        <w:t>wa</w:t>
      </w:r>
      <w:r w:rsidRPr="00D16B79">
        <w:rPr>
          <w:lang w:val="en-US"/>
        </w:rPr>
        <w:t>s closer to its goal</w:t>
      </w:r>
      <w:r w:rsidR="004163D4" w:rsidRPr="00D16B79">
        <w:rPr>
          <w:lang w:val="en-US"/>
        </w:rPr>
        <w:t>,</w:t>
      </w:r>
      <w:r w:rsidRPr="00D16B79">
        <w:rPr>
          <w:lang w:val="en-US"/>
        </w:rPr>
        <w:t xml:space="preserve"> regardless of whether it </w:t>
      </w:r>
      <w:r w:rsidR="00634AFD" w:rsidRPr="00D16B79">
        <w:rPr>
          <w:lang w:val="en-US"/>
        </w:rPr>
        <w:t>wa</w:t>
      </w:r>
      <w:r w:rsidRPr="00D16B79">
        <w:rPr>
          <w:lang w:val="en-US"/>
        </w:rPr>
        <w:t xml:space="preserve">s evaluated alone or with another start-up </w:t>
      </w:r>
      <w:r w:rsidR="003C404E" w:rsidRPr="00D16B79">
        <w:rPr>
          <w:lang w:val="en-US"/>
        </w:rPr>
        <w:t>farther</w:t>
      </w:r>
      <w:r w:rsidRPr="00D16B79">
        <w:rPr>
          <w:lang w:val="en-US"/>
        </w:rPr>
        <w:t xml:space="preserve"> from its goal. </w:t>
      </w:r>
    </w:p>
    <w:p w14:paraId="25A909D7" w14:textId="77777777" w:rsidR="00E53E68" w:rsidRPr="00D16B79" w:rsidRDefault="00E53E68" w:rsidP="00C40F25">
      <w:pPr>
        <w:spacing w:line="480" w:lineRule="auto"/>
        <w:ind w:firstLine="720"/>
        <w:rPr>
          <w:lang w:val="en-US"/>
        </w:rPr>
      </w:pPr>
    </w:p>
    <w:p w14:paraId="38AEEFA9" w14:textId="109BC395" w:rsidR="00EA3D90" w:rsidRPr="00D16B79" w:rsidRDefault="000E7E5C" w:rsidP="009A27A3">
      <w:pPr>
        <w:pStyle w:val="Heading1"/>
      </w:pPr>
      <w:r w:rsidRPr="00D16B79">
        <w:t>STUD</w:t>
      </w:r>
      <w:r w:rsidR="00271AE4" w:rsidRPr="00D16B79">
        <w:t xml:space="preserve">IES </w:t>
      </w:r>
      <w:r w:rsidRPr="00D16B79">
        <w:t>5A AND 5</w:t>
      </w:r>
      <w:r w:rsidR="005A4395" w:rsidRPr="00D16B79">
        <w:t>B</w:t>
      </w:r>
      <w:r w:rsidRPr="00D16B79">
        <w:t xml:space="preserve">: </w:t>
      </w:r>
      <w:r w:rsidR="003D0FB8">
        <w:t>ROBUSTNESS</w:t>
      </w:r>
      <w:r w:rsidR="002145F7" w:rsidRPr="00D16B79">
        <w:t xml:space="preserve"> </w:t>
      </w:r>
      <w:r w:rsidR="00247965">
        <w:t xml:space="preserve">TESTS </w:t>
      </w:r>
      <w:r w:rsidR="003D0FB8">
        <w:t>AND BOUNDARY CONDITIONS</w:t>
      </w:r>
    </w:p>
    <w:p w14:paraId="685A3F59" w14:textId="77777777" w:rsidR="009A27A3" w:rsidRPr="00D16B79" w:rsidRDefault="009A27A3" w:rsidP="006A74E5">
      <w:pPr>
        <w:spacing w:line="480" w:lineRule="auto"/>
        <w:rPr>
          <w:lang w:val="en-US"/>
        </w:rPr>
      </w:pPr>
    </w:p>
    <w:p w14:paraId="76D831E8" w14:textId="2FD91E7A" w:rsidR="00BF273D" w:rsidRPr="00D16B79" w:rsidRDefault="00BF273D" w:rsidP="00BF273D">
      <w:pPr>
        <w:spacing w:line="480" w:lineRule="auto"/>
        <w:ind w:firstLine="720"/>
        <w:rPr>
          <w:i/>
          <w:iCs/>
          <w:lang w:val="en-US"/>
        </w:rPr>
      </w:pPr>
      <w:r w:rsidRPr="00D16B79">
        <w:rPr>
          <w:lang w:val="en-US"/>
        </w:rPr>
        <w:t xml:space="preserve">We ran a series of additional studies to explore the robustness </w:t>
      </w:r>
      <w:r w:rsidR="00B076A0">
        <w:rPr>
          <w:lang w:val="en-US"/>
        </w:rPr>
        <w:t xml:space="preserve">and boundary conditions </w:t>
      </w:r>
      <w:r w:rsidRPr="00D16B79">
        <w:rPr>
          <w:lang w:val="en-US"/>
        </w:rPr>
        <w:t xml:space="preserve">of </w:t>
      </w:r>
      <w:r w:rsidR="005E1649" w:rsidRPr="00D16B79">
        <w:rPr>
          <w:lang w:val="en-US"/>
        </w:rPr>
        <w:t>the closing</w:t>
      </w:r>
      <w:r w:rsidR="0084080F" w:rsidRPr="00D16B79">
        <w:rPr>
          <w:lang w:val="en-US"/>
        </w:rPr>
        <w:t>-</w:t>
      </w:r>
      <w:r w:rsidR="005E1649" w:rsidRPr="00D16B79">
        <w:rPr>
          <w:lang w:val="en-US"/>
        </w:rPr>
        <w:t>the</w:t>
      </w:r>
      <w:r w:rsidR="0084080F" w:rsidRPr="00D16B79">
        <w:rPr>
          <w:lang w:val="en-US"/>
        </w:rPr>
        <w:t>-</w:t>
      </w:r>
      <w:r w:rsidR="005E1649" w:rsidRPr="00D16B79">
        <w:rPr>
          <w:lang w:val="en-US"/>
        </w:rPr>
        <w:t xml:space="preserve">gap </w:t>
      </w:r>
      <w:r w:rsidRPr="00D16B79">
        <w:rPr>
          <w:lang w:val="en-US"/>
        </w:rPr>
        <w:t xml:space="preserve">effect and </w:t>
      </w:r>
      <w:r w:rsidR="001273EF" w:rsidRPr="00D16B79">
        <w:rPr>
          <w:lang w:val="en-US"/>
        </w:rPr>
        <w:t xml:space="preserve">to further </w:t>
      </w:r>
      <w:r w:rsidRPr="00D16B79">
        <w:rPr>
          <w:lang w:val="en-US"/>
        </w:rPr>
        <w:t xml:space="preserve">test </w:t>
      </w:r>
      <w:r w:rsidR="001273EF" w:rsidRPr="00D16B79">
        <w:rPr>
          <w:lang w:val="en-US"/>
        </w:rPr>
        <w:t xml:space="preserve">for </w:t>
      </w:r>
      <w:r w:rsidRPr="00D16B79">
        <w:rPr>
          <w:lang w:val="en-US"/>
        </w:rPr>
        <w:t>generalizability.</w:t>
      </w:r>
      <w:r w:rsidR="00680ACD" w:rsidRPr="00D16B79">
        <w:rPr>
          <w:lang w:val="en-US"/>
        </w:rPr>
        <w:t xml:space="preserve"> These studies were carried out in joint evaluation</w:t>
      </w:r>
      <w:r w:rsidR="005E1649" w:rsidRPr="00D16B79">
        <w:rPr>
          <w:lang w:val="en-US"/>
        </w:rPr>
        <w:t xml:space="preserve"> only,</w:t>
      </w:r>
      <w:r w:rsidR="00680ACD" w:rsidRPr="00D16B79">
        <w:rPr>
          <w:lang w:val="en-US"/>
        </w:rPr>
        <w:t xml:space="preserve"> as we </w:t>
      </w:r>
      <w:r w:rsidR="005E1649" w:rsidRPr="00D16B79">
        <w:rPr>
          <w:lang w:val="en-US"/>
        </w:rPr>
        <w:t xml:space="preserve">aimed </w:t>
      </w:r>
      <w:r w:rsidR="00680ACD" w:rsidRPr="00D16B79">
        <w:rPr>
          <w:lang w:val="en-US"/>
        </w:rPr>
        <w:t xml:space="preserve">to test </w:t>
      </w:r>
      <w:r w:rsidR="001273EF" w:rsidRPr="00D16B79">
        <w:rPr>
          <w:lang w:val="en-US"/>
        </w:rPr>
        <w:t xml:space="preserve">whether </w:t>
      </w:r>
      <w:r w:rsidR="00680ACD" w:rsidRPr="00D16B79">
        <w:rPr>
          <w:lang w:val="en-US"/>
        </w:rPr>
        <w:t xml:space="preserve">participants would continue </w:t>
      </w:r>
      <w:r w:rsidR="003D4DB0" w:rsidRPr="00D16B79">
        <w:rPr>
          <w:lang w:val="en-US"/>
        </w:rPr>
        <w:t xml:space="preserve">to donate more </w:t>
      </w:r>
      <w:r w:rsidR="00680ACD" w:rsidRPr="00D16B79">
        <w:rPr>
          <w:lang w:val="en-US"/>
        </w:rPr>
        <w:lastRenderedPageBreak/>
        <w:t xml:space="preserve">to the charity farther from the goal </w:t>
      </w:r>
      <w:r w:rsidR="001273EF" w:rsidRPr="00D16B79">
        <w:rPr>
          <w:lang w:val="en-US"/>
        </w:rPr>
        <w:t xml:space="preserve">under varying conditions: </w:t>
      </w:r>
      <w:r w:rsidR="00680ACD" w:rsidRPr="00D16B79">
        <w:rPr>
          <w:lang w:val="en-US"/>
        </w:rPr>
        <w:t>with</w:t>
      </w:r>
      <w:r w:rsidRPr="00D16B79">
        <w:rPr>
          <w:lang w:val="en-US"/>
        </w:rPr>
        <w:t xml:space="preserve"> different combinations of goal progress</w:t>
      </w:r>
      <w:r w:rsidR="001640B2" w:rsidRPr="00D16B79">
        <w:rPr>
          <w:lang w:val="en-US"/>
        </w:rPr>
        <w:t xml:space="preserve"> (5A)</w:t>
      </w:r>
      <w:r w:rsidRPr="00D16B79">
        <w:rPr>
          <w:lang w:val="en-US"/>
        </w:rPr>
        <w:t xml:space="preserve">, </w:t>
      </w:r>
      <w:r w:rsidR="005A4395" w:rsidRPr="00D16B79">
        <w:rPr>
          <w:lang w:val="en-US"/>
        </w:rPr>
        <w:t xml:space="preserve">and </w:t>
      </w:r>
      <w:r w:rsidR="00680ACD" w:rsidRPr="00D16B79">
        <w:rPr>
          <w:lang w:val="en-US"/>
        </w:rPr>
        <w:t>when the project closer to the goal is at the</w:t>
      </w:r>
      <w:r w:rsidRPr="00D16B79">
        <w:rPr>
          <w:lang w:val="en-US"/>
        </w:rPr>
        <w:t xml:space="preserve"> tipping point</w:t>
      </w:r>
      <w:r w:rsidR="001640B2" w:rsidRPr="00D16B79">
        <w:rPr>
          <w:lang w:val="en-US"/>
        </w:rPr>
        <w:t xml:space="preserve"> (5B)</w:t>
      </w:r>
      <w:r w:rsidRPr="00D16B79">
        <w:rPr>
          <w:lang w:val="en-US"/>
        </w:rPr>
        <w:t xml:space="preserve">. </w:t>
      </w:r>
      <w:r w:rsidR="001273EF" w:rsidRPr="00D16B79">
        <w:rPr>
          <w:lang w:val="en-US"/>
        </w:rPr>
        <w:t>Greater detail on</w:t>
      </w:r>
      <w:r w:rsidRPr="00D16B79">
        <w:rPr>
          <w:lang w:val="en-US"/>
        </w:rPr>
        <w:t xml:space="preserve"> these studies </w:t>
      </w:r>
      <w:r w:rsidR="001273EF" w:rsidRPr="00D16B79">
        <w:rPr>
          <w:lang w:val="en-US"/>
        </w:rPr>
        <w:t xml:space="preserve">is </w:t>
      </w:r>
      <w:r w:rsidRPr="00D16B79">
        <w:rPr>
          <w:lang w:val="en-US"/>
        </w:rPr>
        <w:t>provided in</w:t>
      </w:r>
      <w:r w:rsidR="0070307F" w:rsidRPr="00D16B79">
        <w:rPr>
          <w:lang w:val="en-US"/>
        </w:rPr>
        <w:t xml:space="preserve"> W</w:t>
      </w:r>
      <w:r w:rsidRPr="00D16B79">
        <w:rPr>
          <w:lang w:val="en-US"/>
        </w:rPr>
        <w:t xml:space="preserve">eb </w:t>
      </w:r>
      <w:r w:rsidR="0070307F" w:rsidRPr="00D16B79">
        <w:rPr>
          <w:lang w:val="en-US"/>
        </w:rPr>
        <w:t>A</w:t>
      </w:r>
      <w:r w:rsidRPr="00D16B79">
        <w:rPr>
          <w:lang w:val="en-US"/>
        </w:rPr>
        <w:t>ppendix</w:t>
      </w:r>
      <w:r w:rsidR="005846CD" w:rsidRPr="00D16B79">
        <w:rPr>
          <w:lang w:val="en-US"/>
        </w:rPr>
        <w:t xml:space="preserve"> C</w:t>
      </w:r>
      <w:r w:rsidRPr="00D16B79">
        <w:rPr>
          <w:lang w:val="en-US"/>
        </w:rPr>
        <w:t>.</w:t>
      </w:r>
    </w:p>
    <w:p w14:paraId="7C0E6855" w14:textId="1E7A53BF" w:rsidR="009A27A3" w:rsidRPr="00D16B79" w:rsidRDefault="000E7E5C" w:rsidP="00FD0663">
      <w:pPr>
        <w:pStyle w:val="Heading2"/>
      </w:pPr>
      <w:r w:rsidRPr="00D16B79">
        <w:t xml:space="preserve">Study 5A: </w:t>
      </w:r>
      <w:r w:rsidR="006E326A" w:rsidRPr="00D16B79">
        <w:t>Effect of Gap Size</w:t>
      </w:r>
    </w:p>
    <w:p w14:paraId="2EC7ED34" w14:textId="17F2CBE7" w:rsidR="00A919FE" w:rsidRPr="00D16B79" w:rsidRDefault="00A919FE" w:rsidP="00111231">
      <w:pPr>
        <w:spacing w:line="480" w:lineRule="auto"/>
        <w:ind w:firstLine="720"/>
        <w:rPr>
          <w:lang w:val="en-US"/>
        </w:rPr>
      </w:pPr>
      <w:r w:rsidRPr="00D16B79">
        <w:rPr>
          <w:iCs/>
          <w:lang w:val="en-US"/>
        </w:rPr>
        <w:t>One question is whether our effect will continue to emerge regardless of the size of the gap between the two charitable fundraisers.</w:t>
      </w:r>
      <w:r w:rsidRPr="00D16B79">
        <w:rPr>
          <w:i/>
          <w:iCs/>
          <w:lang w:val="en-US"/>
        </w:rPr>
        <w:t xml:space="preserve"> </w:t>
      </w:r>
      <w:r w:rsidRPr="00D16B79">
        <w:rPr>
          <w:lang w:val="en-US"/>
        </w:rPr>
        <w:t>In this study, we test how the size of the gap between the charity closer to v</w:t>
      </w:r>
      <w:r w:rsidR="001F6DBF" w:rsidRPr="00D16B79">
        <w:rPr>
          <w:lang w:val="en-US"/>
        </w:rPr>
        <w:t>ersus</w:t>
      </w:r>
      <w:r w:rsidRPr="00D16B79">
        <w:rPr>
          <w:lang w:val="en-US"/>
        </w:rPr>
        <w:t xml:space="preserve"> farther from the goal impacts the closing</w:t>
      </w:r>
      <w:r w:rsidR="001F6DBF" w:rsidRPr="00D16B79">
        <w:rPr>
          <w:lang w:val="en-US"/>
        </w:rPr>
        <w:t>-</w:t>
      </w:r>
      <w:r w:rsidRPr="00D16B79">
        <w:rPr>
          <w:lang w:val="en-US"/>
        </w:rPr>
        <w:t>the</w:t>
      </w:r>
      <w:r w:rsidR="001F6DBF" w:rsidRPr="00D16B79">
        <w:rPr>
          <w:lang w:val="en-US"/>
        </w:rPr>
        <w:t>-</w:t>
      </w:r>
      <w:r w:rsidRPr="00D16B79">
        <w:rPr>
          <w:lang w:val="en-US"/>
        </w:rPr>
        <w:t>gap effect</w:t>
      </w:r>
      <w:r w:rsidR="00C17ED2" w:rsidRPr="00D16B79">
        <w:rPr>
          <w:lang w:val="en-US"/>
        </w:rPr>
        <w:t xml:space="preserve">. Given that our conceptualization suggests that our effects are driven by </w:t>
      </w:r>
      <w:r w:rsidR="00472B2E" w:rsidRPr="00D16B79">
        <w:rPr>
          <w:lang w:val="en-US"/>
        </w:rPr>
        <w:t xml:space="preserve">perceptions of </w:t>
      </w:r>
      <w:r w:rsidR="00C17ED2" w:rsidRPr="00D16B79">
        <w:rPr>
          <w:lang w:val="en-US"/>
        </w:rPr>
        <w:t>need</w:t>
      </w:r>
      <w:r w:rsidR="00B076A0">
        <w:rPr>
          <w:lang w:val="en-US"/>
        </w:rPr>
        <w:t xml:space="preserve"> for help</w:t>
      </w:r>
      <w:r w:rsidR="00C17ED2" w:rsidRPr="00D16B79">
        <w:rPr>
          <w:lang w:val="en-US"/>
        </w:rPr>
        <w:t xml:space="preserve">, </w:t>
      </w:r>
      <w:r w:rsidR="0013328B" w:rsidRPr="00D16B79">
        <w:rPr>
          <w:lang w:val="en-US"/>
        </w:rPr>
        <w:t>i</w:t>
      </w:r>
      <w:r w:rsidR="00B076A0">
        <w:rPr>
          <w:lang w:val="en-US"/>
        </w:rPr>
        <w:t xml:space="preserve">t is </w:t>
      </w:r>
      <w:r w:rsidR="00C17ED2" w:rsidRPr="00D16B79">
        <w:rPr>
          <w:lang w:val="en-US"/>
        </w:rPr>
        <w:t>possib</w:t>
      </w:r>
      <w:r w:rsidR="0013328B" w:rsidRPr="00D16B79">
        <w:rPr>
          <w:lang w:val="en-US"/>
        </w:rPr>
        <w:t>le</w:t>
      </w:r>
      <w:r w:rsidR="00C17ED2" w:rsidRPr="00D16B79">
        <w:rPr>
          <w:lang w:val="en-US"/>
        </w:rPr>
        <w:t xml:space="preserve"> that the effect will </w:t>
      </w:r>
      <w:r w:rsidR="00DF29F3" w:rsidRPr="00D16B79">
        <w:rPr>
          <w:lang w:val="en-US"/>
        </w:rPr>
        <w:t>attenuate</w:t>
      </w:r>
      <w:r w:rsidR="00C17ED2" w:rsidRPr="00D16B79">
        <w:rPr>
          <w:lang w:val="en-US"/>
        </w:rPr>
        <w:t xml:space="preserve"> when the </w:t>
      </w:r>
      <w:r w:rsidR="00F37E7F" w:rsidRPr="00D16B79">
        <w:rPr>
          <w:lang w:val="en-US"/>
        </w:rPr>
        <w:t>difference in goal progress</w:t>
      </w:r>
      <w:r w:rsidR="00C17ED2" w:rsidRPr="00D16B79">
        <w:rPr>
          <w:lang w:val="en-US"/>
        </w:rPr>
        <w:t xml:space="preserve"> between charities is lower, when need</w:t>
      </w:r>
      <w:r w:rsidR="00B076A0">
        <w:rPr>
          <w:lang w:val="en-US"/>
        </w:rPr>
        <w:t xml:space="preserve"> for help</w:t>
      </w:r>
      <w:r w:rsidR="00C17ED2" w:rsidRPr="00D16B79">
        <w:rPr>
          <w:lang w:val="en-US"/>
        </w:rPr>
        <w:t xml:space="preserve"> is less pronounced.  </w:t>
      </w:r>
      <w:r w:rsidRPr="00D16B79">
        <w:rPr>
          <w:lang w:val="en-US"/>
        </w:rPr>
        <w:t xml:space="preserve"> </w:t>
      </w:r>
    </w:p>
    <w:p w14:paraId="1984E57D" w14:textId="1E5E90B4" w:rsidR="009A27A3" w:rsidRPr="00D16B79" w:rsidRDefault="00BF273D" w:rsidP="00BF273D">
      <w:pPr>
        <w:spacing w:line="480" w:lineRule="auto"/>
        <w:ind w:firstLine="720"/>
        <w:rPr>
          <w:lang w:val="en-US"/>
        </w:rPr>
      </w:pPr>
      <w:r w:rsidRPr="00D16B79">
        <w:rPr>
          <w:i/>
          <w:iCs/>
          <w:lang w:val="en-US"/>
        </w:rPr>
        <w:t>Method</w:t>
      </w:r>
      <w:r w:rsidR="009A27A3" w:rsidRPr="00D16B79">
        <w:rPr>
          <w:i/>
          <w:iCs/>
          <w:lang w:val="en-US"/>
        </w:rPr>
        <w:t xml:space="preserve">. </w:t>
      </w:r>
      <w:r w:rsidR="00A919FE" w:rsidRPr="00D16B79">
        <w:rPr>
          <w:iCs/>
          <w:lang w:val="en-US"/>
        </w:rPr>
        <w:t>This study recruited</w:t>
      </w:r>
      <w:r w:rsidRPr="00D16B79">
        <w:rPr>
          <w:lang w:val="en-US"/>
        </w:rPr>
        <w:t xml:space="preserve"> 394 participants from Prolific</w:t>
      </w:r>
      <w:r w:rsidR="00A919FE" w:rsidRPr="00D16B79">
        <w:rPr>
          <w:lang w:val="en-US"/>
        </w:rPr>
        <w:t xml:space="preserve"> Academic</w:t>
      </w:r>
      <w:r w:rsidRPr="00D16B79">
        <w:rPr>
          <w:lang w:val="en-US"/>
        </w:rPr>
        <w:t xml:space="preserve"> (48.2% </w:t>
      </w:r>
      <w:r w:rsidR="00CC29C0" w:rsidRPr="00D16B79">
        <w:rPr>
          <w:lang w:val="en-US"/>
        </w:rPr>
        <w:t>w</w:t>
      </w:r>
      <w:r w:rsidRPr="00D16B79">
        <w:rPr>
          <w:lang w:val="en-US"/>
        </w:rPr>
        <w:t>omen, M</w:t>
      </w:r>
      <w:r w:rsidRPr="00D16B79">
        <w:rPr>
          <w:vertAlign w:val="subscript"/>
          <w:lang w:val="en-US"/>
        </w:rPr>
        <w:t>age</w:t>
      </w:r>
      <w:r w:rsidRPr="00D16B79">
        <w:rPr>
          <w:lang w:val="en-US"/>
        </w:rPr>
        <w:t xml:space="preserve"> = 38.29)</w:t>
      </w:r>
      <w:r w:rsidR="00A919FE" w:rsidRPr="00D16B79">
        <w:rPr>
          <w:lang w:val="en-US"/>
        </w:rPr>
        <w:t xml:space="preserve"> and </w:t>
      </w:r>
      <w:r w:rsidRPr="00D16B79">
        <w:rPr>
          <w:lang w:val="en-US"/>
        </w:rPr>
        <w:t>tested four different gap sizes</w:t>
      </w:r>
      <w:r w:rsidR="003D4DB0" w:rsidRPr="00D16B79">
        <w:rPr>
          <w:lang w:val="en-US"/>
        </w:rPr>
        <w:t xml:space="preserve"> in joint evaluation only</w:t>
      </w:r>
      <w:r w:rsidRPr="00D16B79">
        <w:rPr>
          <w:lang w:val="en-US"/>
        </w:rPr>
        <w:t xml:space="preserve"> (80% vs</w:t>
      </w:r>
      <w:r w:rsidR="00CC29C0" w:rsidRPr="00D16B79">
        <w:rPr>
          <w:lang w:val="en-US"/>
        </w:rPr>
        <w:t>.</w:t>
      </w:r>
      <w:r w:rsidRPr="00D16B79">
        <w:rPr>
          <w:lang w:val="en-US"/>
        </w:rPr>
        <w:t xml:space="preserve"> 60% vs. 40% vs</w:t>
      </w:r>
      <w:r w:rsidR="00CC29C0" w:rsidRPr="00D16B79">
        <w:rPr>
          <w:lang w:val="en-US"/>
        </w:rPr>
        <w:t>.</w:t>
      </w:r>
      <w:r w:rsidRPr="00D16B79">
        <w:rPr>
          <w:lang w:val="en-US"/>
        </w:rPr>
        <w:t xml:space="preserve"> 20% gap) in a between-subject</w:t>
      </w:r>
      <w:r w:rsidR="00CC29C0" w:rsidRPr="00D16B79">
        <w:rPr>
          <w:lang w:val="en-US"/>
        </w:rPr>
        <w:t>s</w:t>
      </w:r>
      <w:r w:rsidRPr="00D16B79">
        <w:rPr>
          <w:lang w:val="en-US"/>
        </w:rPr>
        <w:t xml:space="preserve"> design. In each condition, participants read about </w:t>
      </w:r>
      <w:r w:rsidR="00CC29C0" w:rsidRPr="00D16B79">
        <w:rPr>
          <w:lang w:val="en-US"/>
        </w:rPr>
        <w:t>two</w:t>
      </w:r>
      <w:r w:rsidRPr="00D16B79">
        <w:rPr>
          <w:lang w:val="en-US"/>
        </w:rPr>
        <w:t xml:space="preserve"> charity projects from UNICEF</w:t>
      </w:r>
      <w:r w:rsidR="00F37E7F" w:rsidRPr="00D16B79">
        <w:rPr>
          <w:lang w:val="en-US"/>
        </w:rPr>
        <w:t xml:space="preserve"> (water pump and vaccine)</w:t>
      </w:r>
      <w:r w:rsidRPr="00D16B79">
        <w:rPr>
          <w:lang w:val="en-US"/>
        </w:rPr>
        <w:t xml:space="preserve"> at different levels of goal progress: 1) 10% and 90%, 2) 20% and 80%, 3) 30% and 70%, and 4) 40% and 60%. After reading about the charities, participants were informed that one participant would be selected in a random draw after the study was completed, and a £100 prize would be distributed between the two charities and </w:t>
      </w:r>
      <w:r w:rsidR="00CC29C0" w:rsidRPr="00D16B79">
        <w:rPr>
          <w:lang w:val="en-US"/>
        </w:rPr>
        <w:t xml:space="preserve">the winner </w:t>
      </w:r>
      <w:r w:rsidRPr="00D16B79">
        <w:rPr>
          <w:lang w:val="en-US"/>
        </w:rPr>
        <w:t>according to their choice.</w:t>
      </w:r>
      <w:r w:rsidR="005E1649" w:rsidRPr="00D16B79">
        <w:rPr>
          <w:lang w:val="en-US"/>
        </w:rPr>
        <w:t xml:space="preserve"> </w:t>
      </w:r>
      <w:r w:rsidR="00F37E7F" w:rsidRPr="00D16B79">
        <w:rPr>
          <w:lang w:val="en-US"/>
        </w:rPr>
        <w:t>After the study ended, the money was distributed as per the choices of one randomly selected participant.</w:t>
      </w:r>
    </w:p>
    <w:p w14:paraId="5F56A0AF" w14:textId="25EA075A" w:rsidR="00BF273D" w:rsidRPr="00D16B79" w:rsidRDefault="00BF273D" w:rsidP="00BF273D">
      <w:pPr>
        <w:spacing w:line="480" w:lineRule="auto"/>
        <w:ind w:firstLine="720"/>
        <w:rPr>
          <w:rFonts w:ascii="Times New Roman" w:eastAsia="Times New Roman" w:hAnsi="Times New Roman" w:cs="Calibri"/>
          <w:kern w:val="2"/>
          <w:szCs w:val="22"/>
          <w:lang w:val="en-US"/>
          <w14:ligatures w14:val="standardContextual"/>
        </w:rPr>
      </w:pPr>
      <w:r w:rsidRPr="00D16B79">
        <w:rPr>
          <w:i/>
          <w:iCs/>
          <w:lang w:val="en-US"/>
        </w:rPr>
        <w:t>Results</w:t>
      </w:r>
      <w:r w:rsidR="009A27A3" w:rsidRPr="00D16B79">
        <w:rPr>
          <w:i/>
          <w:iCs/>
          <w:lang w:val="en-US"/>
        </w:rPr>
        <w:t xml:space="preserve">. </w:t>
      </w:r>
      <w:r w:rsidR="005E1649" w:rsidRPr="00D16B79">
        <w:rPr>
          <w:lang w:val="en-US"/>
        </w:rPr>
        <w:t xml:space="preserve">Overall, </w:t>
      </w:r>
      <w:r w:rsidR="005E1649" w:rsidRPr="00D16B79">
        <w:rPr>
          <w:rFonts w:ascii="Times New Roman" w:eastAsia="Times New Roman" w:hAnsi="Times New Roman" w:cs="Calibri"/>
          <w:kern w:val="2"/>
          <w:szCs w:val="22"/>
          <w:lang w:val="en-US"/>
          <w14:ligatures w14:val="standardContextual"/>
        </w:rPr>
        <w:t xml:space="preserve">participants </w:t>
      </w:r>
      <w:r w:rsidRPr="00D16B79">
        <w:rPr>
          <w:rFonts w:ascii="Times New Roman" w:eastAsia="Times New Roman" w:hAnsi="Times New Roman" w:cs="Calibri"/>
          <w:kern w:val="2"/>
          <w:szCs w:val="22"/>
          <w:lang w:val="en-US"/>
          <w14:ligatures w14:val="standardContextual"/>
        </w:rPr>
        <w:t xml:space="preserve">donated significantly more to the charity farther from its goal (M = £30.65, SD = 23.76) than the one closer to its goal (M = £25.32, SD = 20.60), t(393) = 3.85, </w:t>
      </w:r>
      <w:r w:rsidRPr="00D16B79">
        <w:rPr>
          <w:rFonts w:ascii="Times New Roman" w:eastAsia="Times New Roman" w:hAnsi="Times New Roman" w:cs="Calibri"/>
          <w:i/>
          <w:iCs/>
          <w:kern w:val="2"/>
          <w:szCs w:val="22"/>
          <w:lang w:val="en-US"/>
          <w14:ligatures w14:val="standardContextual"/>
        </w:rPr>
        <w:t>p</w:t>
      </w:r>
      <w:r w:rsidRPr="00D16B79">
        <w:rPr>
          <w:rFonts w:ascii="Times New Roman" w:eastAsia="Times New Roman" w:hAnsi="Times New Roman" w:cs="Calibri"/>
          <w:kern w:val="2"/>
          <w:szCs w:val="22"/>
          <w:lang w:val="en-US"/>
          <w14:ligatures w14:val="standardContextual"/>
        </w:rPr>
        <w:t xml:space="preserve"> &lt; .001, d = .19. This was the case when the gap was 80%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far</w:t>
      </w:r>
      <w:proofErr w:type="spellEnd"/>
      <w:r w:rsidRPr="00D16B79">
        <w:rPr>
          <w:rFonts w:ascii="Times New Roman" w:eastAsia="Times New Roman" w:hAnsi="Times New Roman" w:cs="Calibri"/>
          <w:kern w:val="2"/>
          <w:szCs w:val="22"/>
          <w:lang w:val="en-US"/>
          <w14:ligatures w14:val="standardContextual"/>
        </w:rPr>
        <w:t xml:space="preserve"> = £31.06,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close</w:t>
      </w:r>
      <w:proofErr w:type="spellEnd"/>
      <w:r w:rsidRPr="00D16B79">
        <w:rPr>
          <w:rFonts w:ascii="Times New Roman" w:eastAsia="Times New Roman" w:hAnsi="Times New Roman" w:cs="Calibri"/>
          <w:kern w:val="2"/>
          <w:szCs w:val="22"/>
          <w:lang w:val="en-US"/>
          <w14:ligatures w14:val="standardContextual"/>
        </w:rPr>
        <w:t xml:space="preserve"> = £16.80), t(94) = 5.46, </w:t>
      </w:r>
      <w:r w:rsidRPr="00D16B79">
        <w:rPr>
          <w:rFonts w:ascii="Times New Roman" w:eastAsia="Times New Roman" w:hAnsi="Times New Roman" w:cs="Calibri"/>
          <w:i/>
          <w:iCs/>
          <w:kern w:val="2"/>
          <w:szCs w:val="22"/>
          <w:lang w:val="en-US"/>
          <w14:ligatures w14:val="standardContextual"/>
        </w:rPr>
        <w:t>p</w:t>
      </w:r>
      <w:r w:rsidRPr="00D16B79">
        <w:rPr>
          <w:rFonts w:ascii="Times New Roman" w:eastAsia="Times New Roman" w:hAnsi="Times New Roman" w:cs="Calibri"/>
          <w:kern w:val="2"/>
          <w:szCs w:val="22"/>
          <w:lang w:val="en-US"/>
          <w14:ligatures w14:val="standardContextual"/>
        </w:rPr>
        <w:t xml:space="preserve"> &lt; .001, and when the gap was 60%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far</w:t>
      </w:r>
      <w:proofErr w:type="spellEnd"/>
      <w:r w:rsidRPr="00D16B79">
        <w:rPr>
          <w:rFonts w:ascii="Times New Roman" w:eastAsia="Times New Roman" w:hAnsi="Times New Roman" w:cs="Calibri"/>
          <w:kern w:val="2"/>
          <w:szCs w:val="22"/>
          <w:lang w:val="en-US"/>
          <w14:ligatures w14:val="standardContextual"/>
        </w:rPr>
        <w:t xml:space="preserve"> = £34.25,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close</w:t>
      </w:r>
      <w:proofErr w:type="spellEnd"/>
      <w:r w:rsidRPr="00D16B79">
        <w:rPr>
          <w:rFonts w:ascii="Times New Roman" w:eastAsia="Times New Roman" w:hAnsi="Times New Roman" w:cs="Calibri"/>
          <w:kern w:val="2"/>
          <w:szCs w:val="22"/>
          <w:lang w:val="en-US"/>
          <w14:ligatures w14:val="standardContextual"/>
        </w:rPr>
        <w:t xml:space="preserve"> = £27.23), t(99) </w:t>
      </w:r>
      <w:r w:rsidRPr="00D16B79">
        <w:rPr>
          <w:rFonts w:ascii="Times New Roman" w:eastAsia="Times New Roman" w:hAnsi="Times New Roman" w:cs="Calibri"/>
          <w:kern w:val="2"/>
          <w:szCs w:val="22"/>
          <w:lang w:val="en-US"/>
          <w14:ligatures w14:val="standardContextual"/>
        </w:rPr>
        <w:lastRenderedPageBreak/>
        <w:t xml:space="preserve">= 2.23, </w:t>
      </w:r>
      <w:r w:rsidRPr="00D16B79">
        <w:rPr>
          <w:rFonts w:ascii="Times New Roman" w:eastAsia="Times New Roman" w:hAnsi="Times New Roman" w:cs="Calibri"/>
          <w:i/>
          <w:iCs/>
          <w:kern w:val="2"/>
          <w:szCs w:val="22"/>
          <w:lang w:val="en-US"/>
          <w14:ligatures w14:val="standardContextual"/>
        </w:rPr>
        <w:t>p</w:t>
      </w:r>
      <w:r w:rsidRPr="00D16B79">
        <w:rPr>
          <w:rFonts w:ascii="Times New Roman" w:eastAsia="Times New Roman" w:hAnsi="Times New Roman" w:cs="Calibri"/>
          <w:kern w:val="2"/>
          <w:szCs w:val="22"/>
          <w:lang w:val="en-US"/>
          <w14:ligatures w14:val="standardContextual"/>
        </w:rPr>
        <w:t xml:space="preserve"> = .03. However, there were no </w:t>
      </w:r>
      <w:r w:rsidR="005E1649" w:rsidRPr="00D16B79">
        <w:rPr>
          <w:rFonts w:ascii="Times New Roman" w:eastAsia="Times New Roman" w:hAnsi="Times New Roman" w:cs="Calibri"/>
          <w:kern w:val="2"/>
          <w:szCs w:val="22"/>
          <w:lang w:val="en-US"/>
          <w14:ligatures w14:val="standardContextual"/>
        </w:rPr>
        <w:t xml:space="preserve">significant </w:t>
      </w:r>
      <w:r w:rsidRPr="00D16B79">
        <w:rPr>
          <w:rFonts w:ascii="Times New Roman" w:eastAsia="Times New Roman" w:hAnsi="Times New Roman" w:cs="Calibri"/>
          <w:kern w:val="2"/>
          <w:szCs w:val="22"/>
          <w:lang w:val="en-US"/>
          <w14:ligatures w14:val="standardContextual"/>
        </w:rPr>
        <w:t>differences in donations to the two charity projects when the gap was smaller at 40%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far</w:t>
      </w:r>
      <w:proofErr w:type="spellEnd"/>
      <w:r w:rsidRPr="00D16B79">
        <w:rPr>
          <w:rFonts w:ascii="Times New Roman" w:eastAsia="Times New Roman" w:hAnsi="Times New Roman" w:cs="Calibri"/>
          <w:kern w:val="2"/>
          <w:szCs w:val="22"/>
          <w:lang w:val="en-US"/>
          <w14:ligatures w14:val="standardContextual"/>
        </w:rPr>
        <w:t xml:space="preserve"> = £29.65,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close</w:t>
      </w:r>
      <w:proofErr w:type="spellEnd"/>
      <w:r w:rsidRPr="00D16B79">
        <w:rPr>
          <w:rFonts w:ascii="Times New Roman" w:eastAsia="Times New Roman" w:hAnsi="Times New Roman" w:cs="Calibri"/>
          <w:kern w:val="2"/>
          <w:szCs w:val="22"/>
          <w:lang w:val="en-US"/>
          <w14:ligatures w14:val="standardContextual"/>
        </w:rPr>
        <w:t xml:space="preserve"> = £26.88), t(99) = 1.15, </w:t>
      </w:r>
      <w:r w:rsidRPr="00D16B79">
        <w:rPr>
          <w:rFonts w:ascii="Times New Roman" w:eastAsia="Times New Roman" w:hAnsi="Times New Roman" w:cs="Calibri"/>
          <w:i/>
          <w:iCs/>
          <w:kern w:val="2"/>
          <w:szCs w:val="22"/>
          <w:lang w:val="en-US"/>
          <w14:ligatures w14:val="standardContextual"/>
        </w:rPr>
        <w:t>p</w:t>
      </w:r>
      <w:r w:rsidRPr="00D16B79">
        <w:rPr>
          <w:rFonts w:ascii="Times New Roman" w:eastAsia="Times New Roman" w:hAnsi="Times New Roman" w:cs="Calibri"/>
          <w:kern w:val="2"/>
          <w:szCs w:val="22"/>
          <w:lang w:val="en-US"/>
          <w14:ligatures w14:val="standardContextual"/>
        </w:rPr>
        <w:t xml:space="preserve"> = .2</w:t>
      </w:r>
      <w:r w:rsidR="00BA27EB" w:rsidRPr="00D16B79">
        <w:rPr>
          <w:rFonts w:ascii="Times New Roman" w:eastAsia="Times New Roman" w:hAnsi="Times New Roman" w:cs="Calibri"/>
          <w:kern w:val="2"/>
          <w:szCs w:val="22"/>
          <w:lang w:val="en-US"/>
          <w14:ligatures w14:val="standardContextual"/>
        </w:rPr>
        <w:t>5</w:t>
      </w:r>
      <w:r w:rsidRPr="00D16B79">
        <w:rPr>
          <w:rFonts w:ascii="Times New Roman" w:eastAsia="Times New Roman" w:hAnsi="Times New Roman" w:cs="Calibri"/>
          <w:kern w:val="2"/>
          <w:szCs w:val="22"/>
          <w:lang w:val="en-US"/>
          <w14:ligatures w14:val="standardContextual"/>
        </w:rPr>
        <w:t>, or 20%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far</w:t>
      </w:r>
      <w:proofErr w:type="spellEnd"/>
      <w:r w:rsidRPr="00D16B79">
        <w:rPr>
          <w:rFonts w:ascii="Times New Roman" w:eastAsia="Times New Roman" w:hAnsi="Times New Roman" w:cs="Calibri"/>
          <w:kern w:val="2"/>
          <w:szCs w:val="22"/>
          <w:lang w:val="en-US"/>
          <w14:ligatures w14:val="standardContextual"/>
        </w:rPr>
        <w:t xml:space="preserve"> = £27.66, </w:t>
      </w:r>
      <w:proofErr w:type="spellStart"/>
      <w:r w:rsidRPr="00D16B79">
        <w:rPr>
          <w:rFonts w:ascii="Times New Roman" w:eastAsia="Times New Roman" w:hAnsi="Times New Roman" w:cs="Calibri"/>
          <w:kern w:val="2"/>
          <w:szCs w:val="22"/>
          <w:lang w:val="en-US"/>
          <w14:ligatures w14:val="standardContextual"/>
        </w:rPr>
        <w:t>M</w:t>
      </w:r>
      <w:r w:rsidRPr="00D16B79">
        <w:rPr>
          <w:rFonts w:ascii="Times New Roman" w:eastAsia="Times New Roman" w:hAnsi="Times New Roman" w:cs="Calibri"/>
          <w:kern w:val="2"/>
          <w:szCs w:val="22"/>
          <w:vertAlign w:val="subscript"/>
          <w:lang w:val="en-US"/>
          <w14:ligatures w14:val="standardContextual"/>
        </w:rPr>
        <w:t>close</w:t>
      </w:r>
      <w:proofErr w:type="spellEnd"/>
      <w:r w:rsidRPr="00D16B79">
        <w:rPr>
          <w:rFonts w:ascii="Times New Roman" w:eastAsia="Times New Roman" w:hAnsi="Times New Roman" w:cs="Calibri"/>
          <w:kern w:val="2"/>
          <w:szCs w:val="22"/>
          <w:lang w:val="en-US"/>
          <w14:ligatures w14:val="standardContextual"/>
        </w:rPr>
        <w:t xml:space="preserve"> = £29.98), t(99) = .90, </w:t>
      </w:r>
      <w:r w:rsidRPr="00D16B79">
        <w:rPr>
          <w:rFonts w:ascii="Times New Roman" w:eastAsia="Times New Roman" w:hAnsi="Times New Roman" w:cs="Calibri"/>
          <w:i/>
          <w:iCs/>
          <w:kern w:val="2"/>
          <w:szCs w:val="22"/>
          <w:lang w:val="en-US"/>
          <w14:ligatures w14:val="standardContextual"/>
        </w:rPr>
        <w:t>p</w:t>
      </w:r>
      <w:r w:rsidRPr="00D16B79">
        <w:rPr>
          <w:rFonts w:ascii="Times New Roman" w:eastAsia="Times New Roman" w:hAnsi="Times New Roman" w:cs="Calibri"/>
          <w:kern w:val="2"/>
          <w:szCs w:val="22"/>
          <w:lang w:val="en-US"/>
          <w14:ligatures w14:val="standardContextual"/>
        </w:rPr>
        <w:t xml:space="preserve"> = .37. A regression analysis revealed a significant </w:t>
      </w:r>
      <w:r w:rsidR="005E1649" w:rsidRPr="00D16B79">
        <w:rPr>
          <w:rFonts w:ascii="Times New Roman" w:eastAsia="Times New Roman" w:hAnsi="Times New Roman" w:cs="Calibri"/>
          <w:kern w:val="2"/>
          <w:szCs w:val="22"/>
          <w:lang w:val="en-US"/>
          <w14:ligatures w14:val="standardContextual"/>
        </w:rPr>
        <w:t xml:space="preserve">negative </w:t>
      </w:r>
      <w:r w:rsidRPr="00D16B79">
        <w:rPr>
          <w:rFonts w:ascii="Times New Roman" w:eastAsia="Times New Roman" w:hAnsi="Times New Roman" w:cs="Calibri"/>
          <w:kern w:val="2"/>
          <w:szCs w:val="22"/>
          <w:lang w:val="en-US"/>
          <w14:ligatures w14:val="standardContextual"/>
        </w:rPr>
        <w:t xml:space="preserve">effect of gap size on extra donations to the project farther from its goal, </w:t>
      </w:r>
      <w:r w:rsidRPr="00D16B79">
        <w:rPr>
          <w:rFonts w:ascii="Times New Roman" w:eastAsia="Times New Roman" w:hAnsi="Times New Roman" w:cs="Calibri"/>
          <w:i/>
          <w:iCs/>
          <w:kern w:val="2"/>
          <w:szCs w:val="22"/>
          <w:lang w:val="en-US"/>
          <w14:ligatures w14:val="standardContextual"/>
        </w:rPr>
        <w:t>b</w:t>
      </w:r>
      <w:r w:rsidRPr="00D16B79">
        <w:rPr>
          <w:rFonts w:ascii="Times New Roman" w:eastAsia="Times New Roman" w:hAnsi="Times New Roman" w:cs="Calibri"/>
          <w:kern w:val="2"/>
          <w:szCs w:val="22"/>
          <w:lang w:val="en-US"/>
          <w14:ligatures w14:val="standardContextual"/>
        </w:rPr>
        <w:t xml:space="preserve"> = </w:t>
      </w:r>
      <w:r w:rsidR="005E1649" w:rsidRPr="00D16B79">
        <w:rPr>
          <w:rFonts w:ascii="Times New Roman" w:eastAsia="Times New Roman" w:hAnsi="Times New Roman" w:cs="Calibri"/>
          <w:kern w:val="2"/>
          <w:szCs w:val="22"/>
          <w:lang w:val="en-US"/>
          <w14:ligatures w14:val="standardContextual"/>
        </w:rPr>
        <w:t>-</w:t>
      </w:r>
      <w:r w:rsidRPr="00D16B79">
        <w:rPr>
          <w:rFonts w:ascii="Times New Roman" w:eastAsia="Times New Roman" w:hAnsi="Times New Roman" w:cs="Calibri"/>
          <w:kern w:val="2"/>
          <w:szCs w:val="22"/>
          <w:lang w:val="en-US"/>
          <w14:ligatures w14:val="standardContextual"/>
        </w:rPr>
        <w:t xml:space="preserve">.22, t(392) = </w:t>
      </w:r>
      <w:r w:rsidR="005E1649" w:rsidRPr="00D16B79">
        <w:rPr>
          <w:rFonts w:ascii="Times New Roman" w:eastAsia="Times New Roman" w:hAnsi="Times New Roman" w:cs="Calibri"/>
          <w:kern w:val="2"/>
          <w:szCs w:val="22"/>
          <w:lang w:val="en-US"/>
          <w14:ligatures w14:val="standardContextual"/>
        </w:rPr>
        <w:t>-</w:t>
      </w:r>
      <w:r w:rsidRPr="00D16B79">
        <w:rPr>
          <w:rFonts w:ascii="Times New Roman" w:eastAsia="Times New Roman" w:hAnsi="Times New Roman" w:cs="Calibri"/>
          <w:kern w:val="2"/>
          <w:szCs w:val="22"/>
          <w:lang w:val="en-US"/>
          <w14:ligatures w14:val="standardContextual"/>
        </w:rPr>
        <w:t xml:space="preserve">4.44, </w:t>
      </w:r>
      <w:r w:rsidRPr="00D16B79">
        <w:rPr>
          <w:rFonts w:ascii="Times New Roman" w:eastAsia="Times New Roman" w:hAnsi="Times New Roman" w:cs="Calibri"/>
          <w:i/>
          <w:iCs/>
          <w:kern w:val="2"/>
          <w:szCs w:val="22"/>
          <w:lang w:val="en-US"/>
          <w14:ligatures w14:val="standardContextual"/>
        </w:rPr>
        <w:t>p</w:t>
      </w:r>
      <w:r w:rsidRPr="00D16B79">
        <w:rPr>
          <w:rFonts w:ascii="Times New Roman" w:eastAsia="Times New Roman" w:hAnsi="Times New Roman" w:cs="Calibri"/>
          <w:kern w:val="2"/>
          <w:szCs w:val="22"/>
          <w:lang w:val="en-US"/>
          <w14:ligatures w14:val="standardContextual"/>
        </w:rPr>
        <w:t xml:space="preserve"> &lt; .001. This indicates that</w:t>
      </w:r>
      <w:r w:rsidR="00BA1C5D">
        <w:rPr>
          <w:rFonts w:ascii="Times New Roman" w:eastAsia="Times New Roman" w:hAnsi="Times New Roman" w:cs="Calibri"/>
          <w:kern w:val="2"/>
          <w:szCs w:val="22"/>
          <w:lang w:val="en-US"/>
          <w14:ligatures w14:val="standardContextual"/>
        </w:rPr>
        <w:t xml:space="preserve">, </w:t>
      </w:r>
      <w:r w:rsidRPr="00D16B79">
        <w:rPr>
          <w:rFonts w:ascii="Times New Roman" w:eastAsia="Times New Roman" w:hAnsi="Times New Roman" w:cs="Calibri"/>
          <w:kern w:val="2"/>
          <w:szCs w:val="22"/>
          <w:lang w:val="en-US"/>
          <w14:ligatures w14:val="standardContextual"/>
        </w:rPr>
        <w:t xml:space="preserve">as the gap in goal progress </w:t>
      </w:r>
      <w:r w:rsidR="002F2E1B" w:rsidRPr="00D16B79">
        <w:rPr>
          <w:rFonts w:ascii="Times New Roman" w:eastAsia="Times New Roman" w:hAnsi="Times New Roman" w:cs="Calibri"/>
          <w:kern w:val="2"/>
          <w:szCs w:val="22"/>
          <w:lang w:val="en-US"/>
          <w14:ligatures w14:val="standardContextual"/>
        </w:rPr>
        <w:t xml:space="preserve">between projects </w:t>
      </w:r>
      <w:r w:rsidRPr="00D16B79">
        <w:rPr>
          <w:rFonts w:ascii="Times New Roman" w:eastAsia="Times New Roman" w:hAnsi="Times New Roman" w:cs="Calibri"/>
          <w:kern w:val="2"/>
          <w:szCs w:val="22"/>
          <w:lang w:val="en-US"/>
          <w14:ligatures w14:val="standardContextual"/>
        </w:rPr>
        <w:t>decreases, donations to the project f</w:t>
      </w:r>
      <w:r w:rsidR="0093041D" w:rsidRPr="00D16B79">
        <w:rPr>
          <w:rFonts w:ascii="Times New Roman" w:eastAsia="Times New Roman" w:hAnsi="Times New Roman" w:cs="Calibri"/>
          <w:kern w:val="2"/>
          <w:szCs w:val="22"/>
          <w:lang w:val="en-US"/>
          <w14:ligatures w14:val="standardContextual"/>
        </w:rPr>
        <w:t>a</w:t>
      </w:r>
      <w:r w:rsidRPr="00D16B79">
        <w:rPr>
          <w:rFonts w:ascii="Times New Roman" w:eastAsia="Times New Roman" w:hAnsi="Times New Roman" w:cs="Calibri"/>
          <w:kern w:val="2"/>
          <w:szCs w:val="22"/>
          <w:lang w:val="en-US"/>
          <w14:ligatures w14:val="standardContextual"/>
        </w:rPr>
        <w:t xml:space="preserve">rther from its goal become similar to the one closer to its goal, </w:t>
      </w:r>
      <w:r w:rsidR="0096354E">
        <w:rPr>
          <w:rFonts w:ascii="Times New Roman" w:eastAsia="Times New Roman" w:hAnsi="Times New Roman" w:cs="Calibri"/>
          <w:kern w:val="2"/>
          <w:szCs w:val="22"/>
          <w:lang w:val="en-US"/>
          <w14:ligatures w14:val="standardContextual"/>
        </w:rPr>
        <w:t>indicating that gap size is a boundary condition</w:t>
      </w:r>
      <w:r w:rsidR="0093041D" w:rsidRPr="00D16B79">
        <w:rPr>
          <w:rFonts w:ascii="Times New Roman" w:eastAsia="Times New Roman" w:hAnsi="Times New Roman" w:cs="Calibri"/>
          <w:kern w:val="2"/>
          <w:szCs w:val="22"/>
          <w:lang w:val="en-US"/>
          <w14:ligatures w14:val="standardContextual"/>
        </w:rPr>
        <w:t xml:space="preserve"> </w:t>
      </w:r>
      <w:r w:rsidR="0096354E">
        <w:rPr>
          <w:rFonts w:ascii="Times New Roman" w:eastAsia="Times New Roman" w:hAnsi="Times New Roman" w:cs="Calibri"/>
          <w:kern w:val="2"/>
          <w:szCs w:val="22"/>
          <w:lang w:val="en-US"/>
          <w14:ligatures w14:val="standardContextual"/>
        </w:rPr>
        <w:t>of the closing-the-gap effect.</w:t>
      </w:r>
    </w:p>
    <w:p w14:paraId="07144800" w14:textId="07813097" w:rsidR="00680ACD" w:rsidRPr="00D16B79" w:rsidRDefault="000E7E5C" w:rsidP="00680ACD">
      <w:pPr>
        <w:pStyle w:val="Heading2"/>
      </w:pPr>
      <w:r w:rsidRPr="00D16B79">
        <w:t xml:space="preserve">Study 5B: </w:t>
      </w:r>
      <w:r w:rsidR="006E326A" w:rsidRPr="00D16B79">
        <w:t xml:space="preserve">Testing the </w:t>
      </w:r>
      <w:r w:rsidR="00680ACD" w:rsidRPr="00D16B79">
        <w:t>Tipping Point</w:t>
      </w:r>
    </w:p>
    <w:p w14:paraId="6E3CCF45" w14:textId="229EB401" w:rsidR="00A919FE" w:rsidRPr="00D16B79" w:rsidRDefault="00A919FE" w:rsidP="00111231">
      <w:pPr>
        <w:spacing w:line="480" w:lineRule="auto"/>
        <w:ind w:firstLine="720"/>
        <w:rPr>
          <w:lang w:val="en-US"/>
        </w:rPr>
      </w:pPr>
      <w:r w:rsidRPr="00D16B79">
        <w:rPr>
          <w:lang w:val="en-US"/>
        </w:rPr>
        <w:t xml:space="preserve">Study 5B further tests the robustness of our effect by </w:t>
      </w:r>
      <w:r w:rsidR="00EC37CC" w:rsidRPr="00D16B79">
        <w:rPr>
          <w:lang w:val="en-US"/>
        </w:rPr>
        <w:t>examining it under conditions where the goal gradient</w:t>
      </w:r>
      <w:r w:rsidR="002F2E1B" w:rsidRPr="00D16B79">
        <w:rPr>
          <w:lang w:val="en-US"/>
        </w:rPr>
        <w:t xml:space="preserve"> effect</w:t>
      </w:r>
      <w:r w:rsidR="00EC37CC" w:rsidRPr="00D16B79">
        <w:rPr>
          <w:lang w:val="en-US"/>
        </w:rPr>
        <w:t xml:space="preserve"> should arguably emerge in joint evaluation contexts. </w:t>
      </w:r>
      <w:r w:rsidRPr="00D16B79">
        <w:rPr>
          <w:lang w:val="en-US"/>
        </w:rPr>
        <w:t xml:space="preserve">Previous work demonstrates that donors are more likely to give to a project closer to its goal when they can be the one to complete the goal, sometimes referred to as being the tipping point </w:t>
      </w:r>
      <w:r w:rsidRPr="00D16B79">
        <w:rPr>
          <w:lang w:val="en-US"/>
        </w:rPr>
        <w:fldChar w:fldCharType="begin"/>
      </w:r>
      <w:r w:rsidR="00181321">
        <w:rPr>
          <w:lang w:val="en-US"/>
        </w:rPr>
        <w:instrText xml:space="preserve"> ADDIN ZOTERO_ITEM CSL_CITATION {"citationID":"L93MVmTn","properties":{"formattedCitation":"(Anik and Norton 2020; Argo et al. 2020; Wash 2013)","plainCitation":"(Anik and Norton 2020; Argo et al. 2020; Wash 2013)","noteIndex":0},"citationItems":[{"id":2161,"uris":["http://zotero.org/users/4606674/items/QFUXXHIT"],"itemData":{"id":2161,"type":"article-journal","container-title":"Journal of the Association for Consumer Research","issue":"1","page":"19-33","title":"On Being the Tipping Point: Social Threshold Incentives Motivate Behavior","volume":"5","author":[{"family":"Anik","given":"Lalin"},{"family":"Norton","given":"Michael I."}],"issued":{"date-parts":[["2020"]]}}},{"id":1907,"uris":["http://zotero.org/users/4606674/items/I4BDKHZ5"],"itemData":{"id":1907,"type":"article-journal","abstract":"We analyze data from two charitable crowdfunding platforms and find that donors make\nsignificantly larger donations, more frequently, and at a faster pace, in order to personally reach\nfundraising targets. This ‘completion effect’ occurs even when the target is of no consequence for\nprovision, and even within donors who make multiple contributions on a platform. While the\nmajority of donors follow suggested gift amounts at other points of the campaign, they deviate\nupwards in order to personally reach targets. A simple theoretical model describes how a\ncompletion effect can be sustained in equilibrium by uncertainty about the recipient’s ability to\nreach the goal, or by a private benefit to the donor from personally completing campaigns. The\nempirical results point to the latter as a key mechanism.\nKeywords: charitable giving, crowdfunding, threshold public goods","container-title":"Journal of Economic Behavior &amp; Organization","note":"publisher: Elsevier","page":"17–32","source":"Google Scholar","title":"The Completion Effect in Charitable Crowdfunding","volume":"172","author":[{"family":"Argo","given":"Nichole"},{"family":"Klinowski","given":"David"},{"family":"Krishnamurti","given":"Tamar"},{"family":"Smith","given":"Sarah"}],"issued":{"date-parts":[["2020"]]}}},{"id":1903,"uris":["http://zotero.org/users/4606674/items/G48ZMYWH"],"itemData":{"id":1903,"type":"article-journal","abstract":"Crowdfunding systems are social media websites that allow people to donate small amounts of money that add up to fund valuable larger projects. These websites are structured around projects: ﬁnite campaigns with welldeﬁned goals, end dates, and completion criteria. We use a dataset from an existing crowdfunding website —the school charity Donors Choose — to understand the value of completing projects. We ﬁnd that completing a project is an important act that leads to larger donations (over twice as large), greater likelihood of returning to donate again, and few projects that expire close but not complete. A conservative estimate suggests that this completion bias led to over $15 million in increased donations to Donors Choose, representing approximately 16% of the total donations for the period under study. This bias suggests that structuring many types of collaborative work as a series of projects might increase contribution signiﬁcantly.","container-title":"ICWSM","note":"publisher: Citeseer","page":"2013","source":"Google Scholar","title":"The Value of Completing Crowdfunding Projects.","volume":"13","author":[{"family":"Wash","given":"Rick"}],"issued":{"date-parts":[["2013"]]}}}],"schema":"https://github.com/citation-style-language/schema/raw/master/csl-citation.json"} </w:instrText>
      </w:r>
      <w:r w:rsidRPr="00D16B79">
        <w:rPr>
          <w:lang w:val="en-US"/>
        </w:rPr>
        <w:fldChar w:fldCharType="separate"/>
      </w:r>
      <w:r w:rsidRPr="00D16B79">
        <w:rPr>
          <w:rFonts w:ascii="Times New Roman" w:hAnsi="Times New Roman"/>
          <w:lang w:val="en-US"/>
        </w:rPr>
        <w:t>(Anik and Norton 2020; Argo et al. 2020; Wash 2013)</w:t>
      </w:r>
      <w:r w:rsidRPr="00D16B79">
        <w:rPr>
          <w:lang w:val="en-US"/>
        </w:rPr>
        <w:fldChar w:fldCharType="end"/>
      </w:r>
      <w:r w:rsidRPr="00D16B79">
        <w:rPr>
          <w:lang w:val="en-US"/>
        </w:rPr>
        <w:t xml:space="preserve">. </w:t>
      </w:r>
      <w:r w:rsidR="009F2AD8">
        <w:rPr>
          <w:lang w:val="en-US"/>
        </w:rPr>
        <w:t>We</w:t>
      </w:r>
      <w:r w:rsidR="002F2E1B" w:rsidRPr="00D16B79">
        <w:rPr>
          <w:lang w:val="en-US"/>
        </w:rPr>
        <w:t xml:space="preserve"> examine the possibility that</w:t>
      </w:r>
      <w:r w:rsidRPr="00D16B79">
        <w:rPr>
          <w:lang w:val="en-US"/>
        </w:rPr>
        <w:t xml:space="preserve"> </w:t>
      </w:r>
      <w:r w:rsidR="00EC37CC" w:rsidRPr="00D16B79">
        <w:rPr>
          <w:lang w:val="en-US"/>
        </w:rPr>
        <w:t>the closing</w:t>
      </w:r>
      <w:r w:rsidR="00FB19CD" w:rsidRPr="00D16B79">
        <w:rPr>
          <w:lang w:val="en-US"/>
        </w:rPr>
        <w:t>-</w:t>
      </w:r>
      <w:r w:rsidR="00EC37CC" w:rsidRPr="00D16B79">
        <w:rPr>
          <w:lang w:val="en-US"/>
        </w:rPr>
        <w:t>the</w:t>
      </w:r>
      <w:r w:rsidR="00FB19CD" w:rsidRPr="00D16B79">
        <w:rPr>
          <w:lang w:val="en-US"/>
        </w:rPr>
        <w:t>-</w:t>
      </w:r>
      <w:r w:rsidR="00EC37CC" w:rsidRPr="00D16B79">
        <w:rPr>
          <w:lang w:val="en-US"/>
        </w:rPr>
        <w:t>gap</w:t>
      </w:r>
      <w:r w:rsidRPr="00D16B79">
        <w:rPr>
          <w:lang w:val="en-US"/>
        </w:rPr>
        <w:t xml:space="preserve"> effect </w:t>
      </w:r>
      <w:r w:rsidR="002F2E1B" w:rsidRPr="00D16B79">
        <w:rPr>
          <w:lang w:val="en-US"/>
        </w:rPr>
        <w:t>is</w:t>
      </w:r>
      <w:r w:rsidRPr="00D16B79">
        <w:rPr>
          <w:lang w:val="en-US"/>
        </w:rPr>
        <w:t xml:space="preserve"> attenuated </w:t>
      </w:r>
      <w:r w:rsidR="00EC37CC" w:rsidRPr="00D16B79">
        <w:rPr>
          <w:lang w:val="en-US"/>
        </w:rPr>
        <w:t xml:space="preserve">or even reversed </w:t>
      </w:r>
      <w:r w:rsidRPr="00D16B79">
        <w:rPr>
          <w:lang w:val="en-US"/>
        </w:rPr>
        <w:t>if the participant’s donation can be the tipping point</w:t>
      </w:r>
      <w:r w:rsidR="009F2AD8">
        <w:rPr>
          <w:lang w:val="en-US"/>
        </w:rPr>
        <w:t>.</w:t>
      </w:r>
    </w:p>
    <w:p w14:paraId="18815635" w14:textId="75E98D3D" w:rsidR="00680ACD" w:rsidRPr="00D16B79" w:rsidRDefault="00680ACD" w:rsidP="00680ACD">
      <w:pPr>
        <w:spacing w:line="480" w:lineRule="auto"/>
        <w:ind w:firstLine="720"/>
        <w:rPr>
          <w:lang w:val="en-US"/>
        </w:rPr>
      </w:pPr>
      <w:r w:rsidRPr="00D16B79">
        <w:rPr>
          <w:i/>
          <w:lang w:val="en-US"/>
        </w:rPr>
        <w:t>Method.</w:t>
      </w:r>
      <w:r w:rsidRPr="00D16B79">
        <w:rPr>
          <w:lang w:val="en-US"/>
        </w:rPr>
        <w:t xml:space="preserve"> We recruited 201 Amazon Mechanical Turk participants from the US </w:t>
      </w:r>
      <w:r w:rsidR="006E326A" w:rsidRPr="00D16B79">
        <w:rPr>
          <w:lang w:val="en-US"/>
        </w:rPr>
        <w:t xml:space="preserve">and </w:t>
      </w:r>
      <w:r w:rsidR="00924C09" w:rsidRPr="00D16B79">
        <w:rPr>
          <w:lang w:val="en-US"/>
        </w:rPr>
        <w:t>had</w:t>
      </w:r>
      <w:r w:rsidR="006E326A" w:rsidRPr="00D16B79">
        <w:rPr>
          <w:lang w:val="en-US"/>
        </w:rPr>
        <w:t xml:space="preserve"> </w:t>
      </w:r>
      <w:r w:rsidR="006E326A" w:rsidRPr="00D16B79">
        <w:rPr>
          <w:rFonts w:ascii="Times New Roman" w:eastAsia="Calibri" w:hAnsi="Times New Roman"/>
          <w:lang w:val="en-US"/>
        </w:rPr>
        <w:t xml:space="preserve">160 participants </w:t>
      </w:r>
      <w:r w:rsidR="00924C09" w:rsidRPr="00D16B79">
        <w:rPr>
          <w:rFonts w:ascii="Times New Roman" w:eastAsia="Calibri" w:hAnsi="Times New Roman"/>
          <w:lang w:val="en-US"/>
        </w:rPr>
        <w:t>after exclusions</w:t>
      </w:r>
      <w:r w:rsidR="006E326A" w:rsidRPr="00D16B79">
        <w:rPr>
          <w:rFonts w:ascii="Times New Roman" w:eastAsia="Calibri" w:hAnsi="Times New Roman"/>
          <w:lang w:val="en-US"/>
        </w:rPr>
        <w:t xml:space="preserve"> (45% </w:t>
      </w:r>
      <w:r w:rsidR="007E7906" w:rsidRPr="00D16B79">
        <w:rPr>
          <w:rFonts w:ascii="Times New Roman" w:eastAsia="Calibri" w:hAnsi="Times New Roman"/>
          <w:lang w:val="en-US"/>
        </w:rPr>
        <w:t>women</w:t>
      </w:r>
      <w:r w:rsidR="006E326A" w:rsidRPr="00D16B79">
        <w:rPr>
          <w:rFonts w:ascii="Times New Roman" w:eastAsia="Calibri" w:hAnsi="Times New Roman"/>
          <w:lang w:val="en-US"/>
        </w:rPr>
        <w:t>, M</w:t>
      </w:r>
      <w:r w:rsidR="006E326A" w:rsidRPr="00D16B79">
        <w:rPr>
          <w:rFonts w:ascii="Times New Roman" w:eastAsia="Calibri" w:hAnsi="Times New Roman"/>
          <w:vertAlign w:val="subscript"/>
          <w:lang w:val="en-US"/>
        </w:rPr>
        <w:t>age</w:t>
      </w:r>
      <w:r w:rsidR="006E326A" w:rsidRPr="00D16B79">
        <w:rPr>
          <w:rFonts w:ascii="Times New Roman" w:eastAsia="Calibri" w:hAnsi="Times New Roman"/>
          <w:lang w:val="en-US"/>
        </w:rPr>
        <w:t xml:space="preserve"> = 35.41)</w:t>
      </w:r>
      <w:r w:rsidRPr="00D16B79">
        <w:rPr>
          <w:lang w:val="en-US"/>
        </w:rPr>
        <w:t>. The study was a one-factor, two-level (Goal progress: high progress vs. tipping point) between-participants design. In both conditions,</w:t>
      </w:r>
      <w:r w:rsidR="005E02CA" w:rsidRPr="00D16B79">
        <w:rPr>
          <w:lang w:val="en-US"/>
        </w:rPr>
        <w:t xml:space="preserve"> participants saw two charities, FoodShare and Second Harvest (counterbalanced). T</w:t>
      </w:r>
      <w:r w:rsidRPr="00D16B79">
        <w:rPr>
          <w:lang w:val="en-US"/>
        </w:rPr>
        <w:t xml:space="preserve">he </w:t>
      </w:r>
      <w:r w:rsidR="006E326A" w:rsidRPr="00D16B79">
        <w:rPr>
          <w:lang w:val="en-US"/>
        </w:rPr>
        <w:t>charity</w:t>
      </w:r>
      <w:r w:rsidRPr="00D16B79">
        <w:rPr>
          <w:lang w:val="en-US"/>
        </w:rPr>
        <w:t xml:space="preserve"> farther from its goal had raised only $300 out of a goal of $3000 (i.e., 10%). In the high-progress condition, the organization closer to its goal had raised 90%: $2700 out of $3000. In the tipping-point condition, the organization closer to its goal had raised 98% of its goal, or $2930 out of $3000, and thus needed only $70 to complete its goal. After reading about the organizations, participants were informed that there would be a consequential draw at the end of </w:t>
      </w:r>
      <w:r w:rsidRPr="00D16B79">
        <w:rPr>
          <w:lang w:val="en-US"/>
        </w:rPr>
        <w:lastRenderedPageBreak/>
        <w:t xml:space="preserve">the study with the winner’s allocation of the $100 being given to the two charities. Participants could thus give $70 of $100 to the charity at its tipping point to complete the goal. </w:t>
      </w:r>
    </w:p>
    <w:p w14:paraId="732260C5" w14:textId="489B1F49" w:rsidR="00680ACD" w:rsidRPr="00D16B79" w:rsidRDefault="00680ACD" w:rsidP="00FD0663">
      <w:pPr>
        <w:spacing w:line="480" w:lineRule="auto"/>
        <w:ind w:firstLine="720"/>
        <w:rPr>
          <w:lang w:val="en-US"/>
        </w:rPr>
      </w:pPr>
      <w:r w:rsidRPr="00D16B79">
        <w:rPr>
          <w:i/>
          <w:lang w:val="en-US"/>
        </w:rPr>
        <w:t xml:space="preserve">Results. </w:t>
      </w:r>
      <w:r w:rsidRPr="00D16B79">
        <w:rPr>
          <w:lang w:val="en-US"/>
        </w:rPr>
        <w:t xml:space="preserve">A one-sample t-test revealed that, overall, donations to the organization that was farther from its goal (M = $60.28) were greater than the midpoint, i.e., $50, </w:t>
      </w:r>
      <w:proofErr w:type="spellStart"/>
      <w:r w:rsidRPr="00D16B79">
        <w:rPr>
          <w:lang w:val="en-US"/>
        </w:rPr>
        <w:t>M</w:t>
      </w:r>
      <w:r w:rsidRPr="00D16B79">
        <w:rPr>
          <w:vertAlign w:val="subscript"/>
          <w:lang w:val="en-US"/>
        </w:rPr>
        <w:t>diff</w:t>
      </w:r>
      <w:proofErr w:type="spellEnd"/>
      <w:r w:rsidRPr="00D16B79">
        <w:rPr>
          <w:lang w:val="en-US"/>
        </w:rPr>
        <w:t xml:space="preserve"> = 10.28, t(159) = 4.42, </w:t>
      </w:r>
      <w:r w:rsidRPr="00D16B79">
        <w:rPr>
          <w:i/>
          <w:iCs/>
          <w:lang w:val="en-US"/>
        </w:rPr>
        <w:t>p</w:t>
      </w:r>
      <w:r w:rsidRPr="00D16B79">
        <w:rPr>
          <w:lang w:val="en-US"/>
        </w:rPr>
        <w:t xml:space="preserve"> &lt; .001, d = 0.32</w:t>
      </w:r>
      <w:r w:rsidR="002F2E1B" w:rsidRPr="00D16B79">
        <w:rPr>
          <w:lang w:val="en-US"/>
        </w:rPr>
        <w:t>, replicating the closing-the-gap effect</w:t>
      </w:r>
      <w:r w:rsidRPr="00D16B79">
        <w:rPr>
          <w:lang w:val="en-US"/>
        </w:rPr>
        <w:t>.</w:t>
      </w:r>
      <w:r w:rsidR="00924C09" w:rsidRPr="00D16B79">
        <w:rPr>
          <w:lang w:val="en-US"/>
        </w:rPr>
        <w:t xml:space="preserve"> </w:t>
      </w:r>
      <w:r w:rsidRPr="00D16B79">
        <w:rPr>
          <w:lang w:val="en-US"/>
        </w:rPr>
        <w:t>A</w:t>
      </w:r>
      <w:r w:rsidR="002F2E1B" w:rsidRPr="00D16B79">
        <w:rPr>
          <w:lang w:val="en-US"/>
        </w:rPr>
        <w:t xml:space="preserve">n independent samples t-test </w:t>
      </w:r>
      <w:r w:rsidR="00026CA6" w:rsidRPr="00D16B79">
        <w:rPr>
          <w:lang w:val="en-US"/>
        </w:rPr>
        <w:t xml:space="preserve">indicated </w:t>
      </w:r>
      <w:r w:rsidRPr="00D16B79">
        <w:rPr>
          <w:lang w:val="en-US"/>
        </w:rPr>
        <w:t xml:space="preserve">that donations to the charity farther from its goal were </w:t>
      </w:r>
      <w:r w:rsidR="00924C09" w:rsidRPr="00D16B79">
        <w:rPr>
          <w:lang w:val="en-US"/>
        </w:rPr>
        <w:t>similar</w:t>
      </w:r>
      <w:r w:rsidRPr="00D16B79">
        <w:rPr>
          <w:lang w:val="en-US"/>
        </w:rPr>
        <w:t xml:space="preserve"> in the tipping-point (M = $64.14) </w:t>
      </w:r>
      <w:r w:rsidR="00924C09" w:rsidRPr="00D16B79">
        <w:rPr>
          <w:lang w:val="en-US"/>
        </w:rPr>
        <w:t>and</w:t>
      </w:r>
      <w:r w:rsidRPr="00D16B79">
        <w:rPr>
          <w:lang w:val="en-US"/>
        </w:rPr>
        <w:t xml:space="preserve"> high-progress condition</w:t>
      </w:r>
      <w:r w:rsidR="00924C09" w:rsidRPr="00D16B79">
        <w:rPr>
          <w:lang w:val="en-US"/>
        </w:rPr>
        <w:t>s</w:t>
      </w:r>
      <w:r w:rsidRPr="00D16B79">
        <w:rPr>
          <w:lang w:val="en-US"/>
        </w:rPr>
        <w:t xml:space="preserve"> (M = $56.79), </w:t>
      </w:r>
      <w:r w:rsidR="00282EEF" w:rsidRPr="00D16B79">
        <w:rPr>
          <w:lang w:val="en-US"/>
        </w:rPr>
        <w:t>t</w:t>
      </w:r>
      <w:r w:rsidRPr="00D16B79">
        <w:rPr>
          <w:lang w:val="en-US"/>
        </w:rPr>
        <w:t xml:space="preserve">(158) = </w:t>
      </w:r>
      <w:r w:rsidR="00282EEF" w:rsidRPr="00D16B79">
        <w:rPr>
          <w:lang w:val="en-US"/>
        </w:rPr>
        <w:t>1.59</w:t>
      </w:r>
      <w:r w:rsidRPr="00D16B79">
        <w:rPr>
          <w:lang w:val="en-US"/>
        </w:rPr>
        <w:t xml:space="preserve">, </w:t>
      </w:r>
      <w:r w:rsidRPr="00D16B79">
        <w:rPr>
          <w:i/>
          <w:iCs/>
          <w:lang w:val="en-US"/>
        </w:rPr>
        <w:t>p</w:t>
      </w:r>
      <w:r w:rsidRPr="00D16B79">
        <w:rPr>
          <w:lang w:val="en-US"/>
        </w:rPr>
        <w:t xml:space="preserve"> = .1</w:t>
      </w:r>
      <w:r w:rsidR="00F6486F" w:rsidRPr="00D16B79">
        <w:rPr>
          <w:lang w:val="en-US"/>
        </w:rPr>
        <w:t>1</w:t>
      </w:r>
      <w:r w:rsidRPr="00D16B79">
        <w:rPr>
          <w:lang w:val="en-US"/>
        </w:rPr>
        <w:t xml:space="preserve">, d = 0.25. </w:t>
      </w:r>
      <w:r w:rsidR="00EC37CC" w:rsidRPr="00D16B79">
        <w:rPr>
          <w:lang w:val="en-US"/>
        </w:rPr>
        <w:t xml:space="preserve">In other words, and perhaps surprisingly, people continued to donate to the charity that was farther from its goal in joint evaluation contexts, even when the other charity </w:t>
      </w:r>
      <w:r w:rsidR="00026CA6" w:rsidRPr="00D16B79">
        <w:rPr>
          <w:lang w:val="en-US"/>
        </w:rPr>
        <w:t>wa</w:t>
      </w:r>
      <w:r w:rsidR="00EC37CC" w:rsidRPr="00D16B79">
        <w:rPr>
          <w:lang w:val="en-US"/>
        </w:rPr>
        <w:t>s at its tipping point.</w:t>
      </w:r>
    </w:p>
    <w:p w14:paraId="4C8266E1" w14:textId="385F835C" w:rsidR="00D63805" w:rsidRPr="00D16B79" w:rsidRDefault="006E326A" w:rsidP="005A4395">
      <w:pPr>
        <w:pStyle w:val="NormalWeb"/>
        <w:shd w:val="clear" w:color="auto" w:fill="FFFFFF"/>
        <w:spacing w:before="0" w:beforeAutospacing="0" w:after="0" w:afterAutospacing="0" w:line="480" w:lineRule="auto"/>
        <w:ind w:firstLine="720"/>
        <w:rPr>
          <w:iCs/>
          <w:kern w:val="2"/>
          <w:lang w:val="en-US"/>
          <w14:ligatures w14:val="standardContextual"/>
        </w:rPr>
      </w:pPr>
      <w:r w:rsidRPr="00D16B79">
        <w:rPr>
          <w:lang w:val="en-US"/>
        </w:rPr>
        <w:t xml:space="preserve">We retest this in Supplemental Study </w:t>
      </w:r>
      <w:r w:rsidR="005846CD" w:rsidRPr="00D16B79">
        <w:rPr>
          <w:lang w:val="en-US"/>
        </w:rPr>
        <w:t>S</w:t>
      </w:r>
      <w:r w:rsidR="0070307F" w:rsidRPr="00D16B79">
        <w:rPr>
          <w:lang w:val="en-US"/>
        </w:rPr>
        <w:t>5</w:t>
      </w:r>
      <w:r w:rsidR="00282EEF" w:rsidRPr="00D16B79">
        <w:rPr>
          <w:lang w:val="en-US"/>
        </w:rPr>
        <w:t xml:space="preserve"> (Web Appendix C)</w:t>
      </w:r>
      <w:r w:rsidR="00680ACD" w:rsidRPr="00D16B79">
        <w:rPr>
          <w:lang w:val="en-US"/>
        </w:rPr>
        <w:t xml:space="preserve"> </w:t>
      </w:r>
      <w:r w:rsidRPr="00D16B79">
        <w:rPr>
          <w:lang w:val="en-US"/>
        </w:rPr>
        <w:t>and</w:t>
      </w:r>
      <w:r w:rsidR="00680ACD" w:rsidRPr="00D16B79">
        <w:rPr>
          <w:lang w:val="en-US"/>
        </w:rPr>
        <w:t xml:space="preserve"> f</w:t>
      </w:r>
      <w:r w:rsidR="00E17427" w:rsidRPr="00D16B79">
        <w:rPr>
          <w:lang w:val="en-US"/>
        </w:rPr>
        <w:t>ou</w:t>
      </w:r>
      <w:r w:rsidR="00680ACD" w:rsidRPr="00D16B79">
        <w:rPr>
          <w:lang w:val="en-US"/>
        </w:rPr>
        <w:t>nd that preference for the charity f</w:t>
      </w:r>
      <w:r w:rsidR="00E17427" w:rsidRPr="00D16B79">
        <w:rPr>
          <w:lang w:val="en-US"/>
        </w:rPr>
        <w:t>a</w:t>
      </w:r>
      <w:r w:rsidR="00680ACD" w:rsidRPr="00D16B79">
        <w:rPr>
          <w:lang w:val="en-US"/>
        </w:rPr>
        <w:t xml:space="preserve">rther from its goal </w:t>
      </w:r>
      <w:r w:rsidR="00282EEF" w:rsidRPr="00D16B79">
        <w:rPr>
          <w:lang w:val="en-US"/>
        </w:rPr>
        <w:t xml:space="preserve">over the one at its tipping point </w:t>
      </w:r>
      <w:r w:rsidR="00680ACD" w:rsidRPr="00D16B79">
        <w:rPr>
          <w:lang w:val="en-US"/>
        </w:rPr>
        <w:t>is attenuated when the donation is completion</w:t>
      </w:r>
      <w:r w:rsidR="00E17427" w:rsidRPr="00D16B79">
        <w:rPr>
          <w:lang w:val="en-US"/>
        </w:rPr>
        <w:t>-</w:t>
      </w:r>
      <w:r w:rsidR="00680ACD" w:rsidRPr="00D16B79">
        <w:rPr>
          <w:lang w:val="en-US"/>
        </w:rPr>
        <w:t>contingent</w:t>
      </w:r>
      <w:r w:rsidR="004E56F0">
        <w:rPr>
          <w:lang w:val="en-US"/>
        </w:rPr>
        <w:t xml:space="preserve"> (</w:t>
      </w:r>
      <w:r w:rsidR="00680ACD" w:rsidRPr="00D16B79">
        <w:rPr>
          <w:lang w:val="en-US"/>
        </w:rPr>
        <w:t>i.e., the charity will only receive funds once it completes its goal</w:t>
      </w:r>
      <w:r w:rsidR="004E56F0">
        <w:rPr>
          <w:lang w:val="en-US"/>
        </w:rPr>
        <w:t>)</w:t>
      </w:r>
      <w:r w:rsidR="00680ACD" w:rsidRPr="00D16B79">
        <w:rPr>
          <w:lang w:val="en-US"/>
        </w:rPr>
        <w:t xml:space="preserve">. </w:t>
      </w:r>
      <w:r w:rsidR="004E56F0">
        <w:rPr>
          <w:rFonts w:asciiTheme="majorHAnsi" w:hAnsiTheme="majorHAnsi" w:cstheme="majorHAnsi"/>
          <w:lang w:val="en-US"/>
        </w:rPr>
        <w:t>In this study, p</w:t>
      </w:r>
      <w:r w:rsidR="009F2AD8">
        <w:rPr>
          <w:rFonts w:asciiTheme="majorHAnsi" w:hAnsiTheme="majorHAnsi" w:cstheme="majorHAnsi"/>
          <w:lang w:val="en-US"/>
        </w:rPr>
        <w:t>articipants</w:t>
      </w:r>
      <w:r w:rsidR="004E56F0">
        <w:rPr>
          <w:rFonts w:asciiTheme="majorHAnsi" w:hAnsiTheme="majorHAnsi" w:cstheme="majorHAnsi"/>
          <w:lang w:val="en-US"/>
        </w:rPr>
        <w:t xml:space="preserve"> (</w:t>
      </w:r>
      <w:r w:rsidR="006E3B90">
        <w:rPr>
          <w:rFonts w:asciiTheme="majorHAnsi" w:hAnsiTheme="majorHAnsi" w:cstheme="majorHAnsi"/>
          <w:lang w:val="en-US"/>
        </w:rPr>
        <w:t>N</w:t>
      </w:r>
      <w:r w:rsidR="004E56F0">
        <w:rPr>
          <w:rFonts w:asciiTheme="majorHAnsi" w:hAnsiTheme="majorHAnsi" w:cstheme="majorHAnsi"/>
          <w:lang w:val="en-US"/>
        </w:rPr>
        <w:t xml:space="preserve"> = 293)</w:t>
      </w:r>
      <w:r w:rsidR="00F37E7F" w:rsidRPr="00D16B79">
        <w:rPr>
          <w:rFonts w:asciiTheme="majorHAnsi" w:hAnsiTheme="majorHAnsi" w:cstheme="majorHAnsi"/>
          <w:lang w:val="en-US"/>
        </w:rPr>
        <w:t xml:space="preserve"> </w:t>
      </w:r>
      <w:r w:rsidR="00B90037" w:rsidRPr="00D16B79">
        <w:rPr>
          <w:rFonts w:asciiTheme="majorHAnsi" w:hAnsiTheme="majorHAnsi" w:cstheme="majorHAnsi"/>
          <w:lang w:val="en-US"/>
        </w:rPr>
        <w:t>saw two organizations, one of which was at the tipping point</w:t>
      </w:r>
      <w:r w:rsidR="00680ACD" w:rsidRPr="00D16B79">
        <w:rPr>
          <w:rFonts w:asciiTheme="majorHAnsi" w:hAnsiTheme="majorHAnsi" w:cstheme="majorHAnsi"/>
          <w:lang w:val="en-US"/>
        </w:rPr>
        <w:t>. In the non-completion</w:t>
      </w:r>
      <w:r w:rsidR="00CA4F93" w:rsidRPr="00D16B79">
        <w:rPr>
          <w:rFonts w:asciiTheme="majorHAnsi" w:hAnsiTheme="majorHAnsi" w:cstheme="majorHAnsi"/>
          <w:lang w:val="en-US"/>
        </w:rPr>
        <w:t>-</w:t>
      </w:r>
      <w:r w:rsidR="00680ACD" w:rsidRPr="00D16B79">
        <w:rPr>
          <w:rFonts w:asciiTheme="majorHAnsi" w:hAnsiTheme="majorHAnsi" w:cstheme="majorHAnsi"/>
          <w:lang w:val="en-US"/>
        </w:rPr>
        <w:t>contingent condition where the charity projects receive</w:t>
      </w:r>
      <w:r w:rsidR="00144C47" w:rsidRPr="00D16B79">
        <w:rPr>
          <w:rFonts w:asciiTheme="majorHAnsi" w:hAnsiTheme="majorHAnsi" w:cstheme="majorHAnsi"/>
          <w:lang w:val="en-US"/>
        </w:rPr>
        <w:t>d</w:t>
      </w:r>
      <w:r w:rsidR="00680ACD" w:rsidRPr="00D16B79">
        <w:rPr>
          <w:rFonts w:asciiTheme="majorHAnsi" w:hAnsiTheme="majorHAnsi" w:cstheme="majorHAnsi"/>
          <w:lang w:val="en-US"/>
        </w:rPr>
        <w:t xml:space="preserve"> money even if they d</w:t>
      </w:r>
      <w:r w:rsidR="00144C47" w:rsidRPr="00D16B79">
        <w:rPr>
          <w:rFonts w:asciiTheme="majorHAnsi" w:hAnsiTheme="majorHAnsi" w:cstheme="majorHAnsi"/>
          <w:lang w:val="en-US"/>
        </w:rPr>
        <w:t>id</w:t>
      </w:r>
      <w:r w:rsidR="00680ACD" w:rsidRPr="00D16B79">
        <w:rPr>
          <w:rFonts w:asciiTheme="majorHAnsi" w:hAnsiTheme="majorHAnsi" w:cstheme="majorHAnsi"/>
          <w:lang w:val="en-US"/>
        </w:rPr>
        <w:t xml:space="preserve"> not reach their goal, we replicate</w:t>
      </w:r>
      <w:r w:rsidR="00144C47" w:rsidRPr="00D16B79">
        <w:rPr>
          <w:rFonts w:asciiTheme="majorHAnsi" w:hAnsiTheme="majorHAnsi" w:cstheme="majorHAnsi"/>
          <w:lang w:val="en-US"/>
        </w:rPr>
        <w:t>d</w:t>
      </w:r>
      <w:r w:rsidR="00680ACD" w:rsidRPr="00D16B79">
        <w:rPr>
          <w:rFonts w:asciiTheme="majorHAnsi" w:hAnsiTheme="majorHAnsi" w:cstheme="majorHAnsi"/>
          <w:lang w:val="en-US"/>
        </w:rPr>
        <w:t xml:space="preserve"> our previous effects and </w:t>
      </w:r>
      <w:r w:rsidR="00144C47" w:rsidRPr="00D16B79">
        <w:rPr>
          <w:rFonts w:asciiTheme="majorHAnsi" w:hAnsiTheme="majorHAnsi" w:cstheme="majorHAnsi"/>
          <w:lang w:val="en-US"/>
        </w:rPr>
        <w:t>found</w:t>
      </w:r>
      <w:r w:rsidR="00680ACD" w:rsidRPr="00D16B79">
        <w:rPr>
          <w:rFonts w:asciiTheme="majorHAnsi" w:hAnsiTheme="majorHAnsi" w:cstheme="majorHAnsi"/>
          <w:lang w:val="en-US"/>
        </w:rPr>
        <w:t xml:space="preserve"> that participants </w:t>
      </w:r>
      <w:r w:rsidR="00144C47" w:rsidRPr="00D16B79">
        <w:rPr>
          <w:rFonts w:asciiTheme="majorHAnsi" w:hAnsiTheme="majorHAnsi" w:cstheme="majorHAnsi"/>
          <w:lang w:val="en-US"/>
        </w:rPr>
        <w:t>gave</w:t>
      </w:r>
      <w:r w:rsidR="00680ACD" w:rsidRPr="00D16B79">
        <w:rPr>
          <w:rFonts w:asciiTheme="majorHAnsi" w:hAnsiTheme="majorHAnsi" w:cstheme="majorHAnsi"/>
          <w:lang w:val="en-US"/>
        </w:rPr>
        <w:t xml:space="preserve"> more to the charity farther from its goal (M = 32.62) than closer to its goal (M = 26.81), t(146) = 2.45, </w:t>
      </w:r>
      <w:r w:rsidR="00680ACD" w:rsidRPr="00D16B79">
        <w:rPr>
          <w:rFonts w:asciiTheme="majorHAnsi" w:hAnsiTheme="majorHAnsi" w:cstheme="majorHAnsi"/>
          <w:i/>
          <w:iCs/>
          <w:lang w:val="en-US"/>
        </w:rPr>
        <w:t>p</w:t>
      </w:r>
      <w:r w:rsidR="00680ACD" w:rsidRPr="00D16B79">
        <w:rPr>
          <w:rFonts w:asciiTheme="majorHAnsi" w:hAnsiTheme="majorHAnsi" w:cstheme="majorHAnsi"/>
          <w:lang w:val="en-US"/>
        </w:rPr>
        <w:t> = .02. In the completion</w:t>
      </w:r>
      <w:r w:rsidR="00CA4F93" w:rsidRPr="00D16B79">
        <w:rPr>
          <w:rFonts w:asciiTheme="majorHAnsi" w:hAnsiTheme="majorHAnsi" w:cstheme="majorHAnsi"/>
          <w:lang w:val="en-US"/>
        </w:rPr>
        <w:t>-</w:t>
      </w:r>
      <w:r w:rsidR="00680ACD" w:rsidRPr="00D16B79">
        <w:rPr>
          <w:rFonts w:asciiTheme="majorHAnsi" w:hAnsiTheme="majorHAnsi" w:cstheme="majorHAnsi"/>
          <w:lang w:val="en-US"/>
        </w:rPr>
        <w:t>contingent condition where the charit</w:t>
      </w:r>
      <w:r w:rsidR="001108C7" w:rsidRPr="00D16B79">
        <w:rPr>
          <w:rFonts w:asciiTheme="majorHAnsi" w:hAnsiTheme="majorHAnsi" w:cstheme="majorHAnsi"/>
          <w:lang w:val="en-US"/>
        </w:rPr>
        <w:t>ies</w:t>
      </w:r>
      <w:r w:rsidR="00680ACD" w:rsidRPr="00D16B79">
        <w:rPr>
          <w:rFonts w:asciiTheme="majorHAnsi" w:hAnsiTheme="majorHAnsi" w:cstheme="majorHAnsi"/>
          <w:lang w:val="en-US"/>
        </w:rPr>
        <w:t xml:space="preserve"> </w:t>
      </w:r>
      <w:r w:rsidR="00924C09" w:rsidRPr="00D16B79">
        <w:rPr>
          <w:rFonts w:asciiTheme="majorHAnsi" w:hAnsiTheme="majorHAnsi" w:cstheme="majorHAnsi"/>
          <w:lang w:val="en-US"/>
        </w:rPr>
        <w:t>would</w:t>
      </w:r>
      <w:r w:rsidR="00680ACD" w:rsidRPr="00D16B79">
        <w:rPr>
          <w:rFonts w:asciiTheme="majorHAnsi" w:hAnsiTheme="majorHAnsi" w:cstheme="majorHAnsi"/>
          <w:lang w:val="en-US"/>
        </w:rPr>
        <w:t> </w:t>
      </w:r>
      <w:r w:rsidR="00680ACD" w:rsidRPr="00D16B79">
        <w:rPr>
          <w:rFonts w:asciiTheme="majorHAnsi" w:hAnsiTheme="majorHAnsi" w:cstheme="majorHAnsi"/>
          <w:iCs/>
          <w:lang w:val="en-US"/>
        </w:rPr>
        <w:t>only</w:t>
      </w:r>
      <w:r w:rsidR="00680ACD" w:rsidRPr="00D16B79">
        <w:rPr>
          <w:rFonts w:asciiTheme="majorHAnsi" w:hAnsiTheme="majorHAnsi" w:cstheme="majorHAnsi"/>
          <w:lang w:val="en-US"/>
        </w:rPr>
        <w:t xml:space="preserve"> receive funds if </w:t>
      </w:r>
      <w:r w:rsidR="001108C7" w:rsidRPr="00D16B79">
        <w:rPr>
          <w:rFonts w:asciiTheme="majorHAnsi" w:hAnsiTheme="majorHAnsi" w:cstheme="majorHAnsi"/>
          <w:lang w:val="en-US"/>
        </w:rPr>
        <w:t xml:space="preserve">they </w:t>
      </w:r>
      <w:r w:rsidR="00680ACD" w:rsidRPr="00D16B79">
        <w:rPr>
          <w:rFonts w:asciiTheme="majorHAnsi" w:hAnsiTheme="majorHAnsi" w:cstheme="majorHAnsi"/>
          <w:lang w:val="en-US"/>
        </w:rPr>
        <w:t>reach</w:t>
      </w:r>
      <w:r w:rsidR="00282EEF" w:rsidRPr="00D16B79">
        <w:rPr>
          <w:rFonts w:asciiTheme="majorHAnsi" w:hAnsiTheme="majorHAnsi" w:cstheme="majorHAnsi"/>
          <w:lang w:val="en-US"/>
        </w:rPr>
        <w:t>ed</w:t>
      </w:r>
      <w:r w:rsidR="00680ACD" w:rsidRPr="00D16B79">
        <w:rPr>
          <w:rFonts w:asciiTheme="majorHAnsi" w:hAnsiTheme="majorHAnsi" w:cstheme="majorHAnsi"/>
          <w:lang w:val="en-US"/>
        </w:rPr>
        <w:t xml:space="preserve"> </w:t>
      </w:r>
      <w:r w:rsidR="001108C7" w:rsidRPr="00D16B79">
        <w:rPr>
          <w:rFonts w:asciiTheme="majorHAnsi" w:hAnsiTheme="majorHAnsi" w:cstheme="majorHAnsi"/>
          <w:lang w:val="en-US"/>
        </w:rPr>
        <w:t>their</w:t>
      </w:r>
      <w:r w:rsidR="00680ACD" w:rsidRPr="00D16B79">
        <w:rPr>
          <w:rFonts w:asciiTheme="majorHAnsi" w:hAnsiTheme="majorHAnsi" w:cstheme="majorHAnsi"/>
          <w:lang w:val="en-US"/>
        </w:rPr>
        <w:t xml:space="preserve"> goal there </w:t>
      </w:r>
      <w:r w:rsidR="00144C47" w:rsidRPr="00D16B79">
        <w:rPr>
          <w:rFonts w:asciiTheme="majorHAnsi" w:hAnsiTheme="majorHAnsi" w:cstheme="majorHAnsi"/>
          <w:lang w:val="en-US"/>
        </w:rPr>
        <w:t>was</w:t>
      </w:r>
      <w:r w:rsidR="00680ACD" w:rsidRPr="00D16B79">
        <w:rPr>
          <w:rFonts w:asciiTheme="majorHAnsi" w:hAnsiTheme="majorHAnsi" w:cstheme="majorHAnsi"/>
          <w:lang w:val="en-US"/>
        </w:rPr>
        <w:t xml:space="preserve"> no difference in donations to the charity farther</w:t>
      </w:r>
      <w:r w:rsidR="00B12BFE" w:rsidRPr="00D16B79">
        <w:rPr>
          <w:rFonts w:asciiTheme="majorHAnsi" w:hAnsiTheme="majorHAnsi" w:cstheme="majorHAnsi"/>
          <w:lang w:val="en-US"/>
        </w:rPr>
        <w:t xml:space="preserve"> from</w:t>
      </w:r>
      <w:r w:rsidR="00680ACD" w:rsidRPr="00D16B79">
        <w:rPr>
          <w:rFonts w:asciiTheme="majorHAnsi" w:hAnsiTheme="majorHAnsi" w:cstheme="majorHAnsi"/>
          <w:lang w:val="en-US"/>
        </w:rPr>
        <w:t xml:space="preserve"> (M = 27.69) vs. closer to (M = 29.60)</w:t>
      </w:r>
      <w:r w:rsidR="00CA4F93" w:rsidRPr="00D16B79">
        <w:rPr>
          <w:rFonts w:asciiTheme="majorHAnsi" w:hAnsiTheme="majorHAnsi" w:cstheme="majorHAnsi"/>
          <w:lang w:val="en-US"/>
        </w:rPr>
        <w:t xml:space="preserve"> </w:t>
      </w:r>
      <w:r w:rsidR="00680ACD" w:rsidRPr="00D16B79">
        <w:rPr>
          <w:rFonts w:asciiTheme="majorHAnsi" w:hAnsiTheme="majorHAnsi" w:cstheme="majorHAnsi"/>
          <w:lang w:val="en-US"/>
        </w:rPr>
        <w:t>its goal, t(145) = .75, </w:t>
      </w:r>
      <w:r w:rsidR="00680ACD" w:rsidRPr="00D16B79">
        <w:rPr>
          <w:rFonts w:asciiTheme="majorHAnsi" w:hAnsiTheme="majorHAnsi" w:cstheme="majorHAnsi"/>
          <w:i/>
          <w:iCs/>
          <w:lang w:val="en-US"/>
        </w:rPr>
        <w:t>p</w:t>
      </w:r>
      <w:r w:rsidR="00680ACD" w:rsidRPr="00D16B79">
        <w:rPr>
          <w:rFonts w:asciiTheme="majorHAnsi" w:hAnsiTheme="majorHAnsi" w:cstheme="majorHAnsi"/>
          <w:lang w:val="en-US"/>
        </w:rPr>
        <w:t xml:space="preserve"> = .45, attenuating the effect. </w:t>
      </w:r>
      <w:r w:rsidR="003D4DB0" w:rsidRPr="00D16B79">
        <w:rPr>
          <w:rFonts w:asciiTheme="majorHAnsi" w:hAnsiTheme="majorHAnsi" w:cstheme="majorHAnsi"/>
          <w:lang w:val="en-US"/>
        </w:rPr>
        <w:t>Thus, while our effect is robust to donation</w:t>
      </w:r>
      <w:r w:rsidR="001108C7" w:rsidRPr="00D16B79">
        <w:rPr>
          <w:rFonts w:asciiTheme="majorHAnsi" w:hAnsiTheme="majorHAnsi" w:cstheme="majorHAnsi"/>
          <w:lang w:val="en-US"/>
        </w:rPr>
        <w:t>s</w:t>
      </w:r>
      <w:r w:rsidR="003D4DB0" w:rsidRPr="00D16B79">
        <w:rPr>
          <w:rFonts w:asciiTheme="majorHAnsi" w:hAnsiTheme="majorHAnsi" w:cstheme="majorHAnsi"/>
          <w:lang w:val="en-US"/>
        </w:rPr>
        <w:t xml:space="preserve"> to a charity that is close to its goal being</w:t>
      </w:r>
      <w:r w:rsidR="001108C7" w:rsidRPr="00D16B79">
        <w:rPr>
          <w:rFonts w:asciiTheme="majorHAnsi" w:hAnsiTheme="majorHAnsi" w:cstheme="majorHAnsi"/>
          <w:lang w:val="en-US"/>
        </w:rPr>
        <w:t xml:space="preserve"> at</w:t>
      </w:r>
      <w:r w:rsidR="003D4DB0" w:rsidRPr="00D16B79">
        <w:rPr>
          <w:rFonts w:asciiTheme="majorHAnsi" w:hAnsiTheme="majorHAnsi" w:cstheme="majorHAnsi"/>
          <w:lang w:val="en-US"/>
        </w:rPr>
        <w:t xml:space="preserve"> the “tipping point,” it is not robust when the donation is completion</w:t>
      </w:r>
      <w:r w:rsidR="00E030C9" w:rsidRPr="00D16B79">
        <w:rPr>
          <w:rFonts w:asciiTheme="majorHAnsi" w:hAnsiTheme="majorHAnsi" w:cstheme="majorHAnsi"/>
          <w:lang w:val="en-US"/>
        </w:rPr>
        <w:t>-</w:t>
      </w:r>
      <w:r w:rsidR="003D4DB0" w:rsidRPr="00D16B79">
        <w:rPr>
          <w:rFonts w:asciiTheme="majorHAnsi" w:hAnsiTheme="majorHAnsi" w:cstheme="majorHAnsi"/>
          <w:lang w:val="en-US"/>
        </w:rPr>
        <w:t>contingent and the charity will only receive the funds if the</w:t>
      </w:r>
      <w:r w:rsidR="00E030C9" w:rsidRPr="00D16B79">
        <w:rPr>
          <w:rFonts w:asciiTheme="majorHAnsi" w:hAnsiTheme="majorHAnsi" w:cstheme="majorHAnsi"/>
          <w:lang w:val="en-US"/>
        </w:rPr>
        <w:t xml:space="preserve"> goal is</w:t>
      </w:r>
      <w:r w:rsidR="003D4DB0" w:rsidRPr="00D16B79">
        <w:rPr>
          <w:rFonts w:asciiTheme="majorHAnsi" w:hAnsiTheme="majorHAnsi" w:cstheme="majorHAnsi"/>
          <w:lang w:val="en-US"/>
        </w:rPr>
        <w:t xml:space="preserve"> reach</w:t>
      </w:r>
      <w:r w:rsidR="00E030C9" w:rsidRPr="00D16B79">
        <w:rPr>
          <w:rFonts w:asciiTheme="majorHAnsi" w:hAnsiTheme="majorHAnsi" w:cstheme="majorHAnsi"/>
          <w:lang w:val="en-US"/>
        </w:rPr>
        <w:t>ed</w:t>
      </w:r>
      <w:r w:rsidR="003D4DB0" w:rsidRPr="00D16B79">
        <w:rPr>
          <w:rFonts w:asciiTheme="majorHAnsi" w:hAnsiTheme="majorHAnsi" w:cstheme="majorHAnsi"/>
          <w:lang w:val="en-US"/>
        </w:rPr>
        <w:t xml:space="preserve">. </w:t>
      </w:r>
      <w:r w:rsidR="002145F7" w:rsidRPr="00D16B79">
        <w:rPr>
          <w:iCs/>
          <w:kern w:val="2"/>
          <w:lang w:val="en-US"/>
          <w14:ligatures w14:val="standardContextual"/>
        </w:rPr>
        <w:t>Next, we expand the generalizability of the closing</w:t>
      </w:r>
      <w:r w:rsidR="00FA3D0D" w:rsidRPr="00D16B79">
        <w:rPr>
          <w:iCs/>
          <w:kern w:val="2"/>
          <w:lang w:val="en-US"/>
          <w14:ligatures w14:val="standardContextual"/>
        </w:rPr>
        <w:t>-</w:t>
      </w:r>
      <w:r w:rsidR="002145F7" w:rsidRPr="00D16B79">
        <w:rPr>
          <w:iCs/>
          <w:kern w:val="2"/>
          <w:lang w:val="en-US"/>
          <w14:ligatures w14:val="standardContextual"/>
        </w:rPr>
        <w:t>the</w:t>
      </w:r>
      <w:r w:rsidR="00FA3D0D" w:rsidRPr="00D16B79">
        <w:rPr>
          <w:iCs/>
          <w:kern w:val="2"/>
          <w:lang w:val="en-US"/>
          <w14:ligatures w14:val="standardContextual"/>
        </w:rPr>
        <w:t>-</w:t>
      </w:r>
      <w:r w:rsidR="002145F7" w:rsidRPr="00D16B79">
        <w:rPr>
          <w:iCs/>
          <w:kern w:val="2"/>
          <w:lang w:val="en-US"/>
          <w14:ligatures w14:val="standardContextual"/>
        </w:rPr>
        <w:lastRenderedPageBreak/>
        <w:t>gap effect in a field context where donors simultaneously consider thousands of different charities with different levels of goal progress.</w:t>
      </w:r>
    </w:p>
    <w:p w14:paraId="329F6B6E" w14:textId="77777777" w:rsidR="00036ABF" w:rsidRPr="00D16B79" w:rsidRDefault="00036ABF" w:rsidP="005A4395">
      <w:pPr>
        <w:spacing w:line="480" w:lineRule="auto"/>
        <w:rPr>
          <w:lang w:val="en-US"/>
        </w:rPr>
      </w:pPr>
    </w:p>
    <w:p w14:paraId="5F423327" w14:textId="347AC316" w:rsidR="004253B1" w:rsidRPr="00D16B79" w:rsidRDefault="004253B1" w:rsidP="005A4395">
      <w:pPr>
        <w:pStyle w:val="Heading1"/>
      </w:pPr>
      <w:r w:rsidRPr="00D16B79">
        <w:t xml:space="preserve">STUDY </w:t>
      </w:r>
      <w:r w:rsidR="00B9494B" w:rsidRPr="00D16B79">
        <w:t>6</w:t>
      </w:r>
      <w:r w:rsidRPr="00D16B79">
        <w:t>: DATA</w:t>
      </w:r>
      <w:r w:rsidR="00011425" w:rsidRPr="00D16B79">
        <w:t xml:space="preserve"> FROM KIVA.ORG</w:t>
      </w:r>
    </w:p>
    <w:p w14:paraId="09B15BA1" w14:textId="77777777" w:rsidR="004253B1" w:rsidRPr="00D16B79" w:rsidRDefault="004253B1" w:rsidP="00144C47">
      <w:pPr>
        <w:spacing w:line="480" w:lineRule="auto"/>
        <w:rPr>
          <w:lang w:val="en-US"/>
        </w:rPr>
      </w:pPr>
    </w:p>
    <w:p w14:paraId="68C7E7FF" w14:textId="51177B3D" w:rsidR="00D06F4D" w:rsidRPr="00D16B79" w:rsidRDefault="0038791D" w:rsidP="004253B1">
      <w:pPr>
        <w:spacing w:line="480" w:lineRule="auto"/>
        <w:ind w:firstLine="720"/>
        <w:rPr>
          <w:lang w:val="en-US"/>
        </w:rPr>
      </w:pPr>
      <w:r w:rsidRPr="00D16B79">
        <w:rPr>
          <w:lang w:val="en-US"/>
        </w:rPr>
        <w:t xml:space="preserve">Thus far, our </w:t>
      </w:r>
      <w:r w:rsidR="00D06F4D" w:rsidRPr="00D16B79">
        <w:rPr>
          <w:lang w:val="en-US"/>
        </w:rPr>
        <w:t>studies</w:t>
      </w:r>
      <w:r w:rsidRPr="00D16B79">
        <w:rPr>
          <w:lang w:val="en-US"/>
        </w:rPr>
        <w:t xml:space="preserve"> have used</w:t>
      </w:r>
      <w:r w:rsidR="00D06F4D" w:rsidRPr="00D16B79">
        <w:rPr>
          <w:lang w:val="en-US"/>
        </w:rPr>
        <w:t xml:space="preserve"> </w:t>
      </w:r>
      <w:r w:rsidRPr="00D16B79">
        <w:rPr>
          <w:lang w:val="en-US"/>
        </w:rPr>
        <w:t xml:space="preserve">relatively controlled experimental methods to provide evidence that, </w:t>
      </w:r>
      <w:r w:rsidR="00D3317B">
        <w:rPr>
          <w:lang w:val="en-US"/>
        </w:rPr>
        <w:t xml:space="preserve">under conditions of joint evaluation, </w:t>
      </w:r>
      <w:r w:rsidRPr="00D16B79">
        <w:rPr>
          <w:lang w:val="en-US"/>
        </w:rPr>
        <w:t>a</w:t>
      </w:r>
      <w:r w:rsidR="00947615" w:rsidRPr="00D16B79">
        <w:rPr>
          <w:lang w:val="en-US"/>
        </w:rPr>
        <w:t xml:space="preserve"> charity </w:t>
      </w:r>
      <w:r w:rsidR="003C404E" w:rsidRPr="00D16B79">
        <w:rPr>
          <w:lang w:val="en-US"/>
        </w:rPr>
        <w:t>farther</w:t>
      </w:r>
      <w:r w:rsidR="00947615" w:rsidRPr="00D16B79">
        <w:rPr>
          <w:lang w:val="en-US"/>
        </w:rPr>
        <w:t xml:space="preserve"> from its goal </w:t>
      </w:r>
      <w:r w:rsidR="00D3317B">
        <w:rPr>
          <w:lang w:val="en-US"/>
        </w:rPr>
        <w:t xml:space="preserve">tends to </w:t>
      </w:r>
      <w:r w:rsidR="009F54C2" w:rsidRPr="00D16B79">
        <w:rPr>
          <w:lang w:val="en-US"/>
        </w:rPr>
        <w:t xml:space="preserve">receive </w:t>
      </w:r>
      <w:r w:rsidR="00C67C22" w:rsidRPr="00D16B79">
        <w:rPr>
          <w:lang w:val="en-US"/>
        </w:rPr>
        <w:t xml:space="preserve">more </w:t>
      </w:r>
      <w:r w:rsidR="009F54C2" w:rsidRPr="00D16B79">
        <w:rPr>
          <w:lang w:val="en-US"/>
        </w:rPr>
        <w:t xml:space="preserve">donations than </w:t>
      </w:r>
      <w:r w:rsidR="00947615" w:rsidRPr="00D16B79">
        <w:rPr>
          <w:lang w:val="en-US"/>
        </w:rPr>
        <w:t>one closer to its goal.</w:t>
      </w:r>
      <w:r w:rsidR="00265F58" w:rsidRPr="00D16B79">
        <w:rPr>
          <w:lang w:val="en-US"/>
        </w:rPr>
        <w:t xml:space="preserve"> </w:t>
      </w:r>
      <w:r w:rsidR="000E2BF1" w:rsidRPr="00D16B79">
        <w:rPr>
          <w:lang w:val="en-US"/>
        </w:rPr>
        <w:t xml:space="preserve">In </w:t>
      </w:r>
      <w:r w:rsidR="004E21A9" w:rsidRPr="00D16B79">
        <w:rPr>
          <w:lang w:val="en-US"/>
        </w:rPr>
        <w:t>S</w:t>
      </w:r>
      <w:r w:rsidR="000E2BF1" w:rsidRPr="00D16B79">
        <w:rPr>
          <w:lang w:val="en-US"/>
        </w:rPr>
        <w:t xml:space="preserve">tudy </w:t>
      </w:r>
      <w:r w:rsidR="00B9494B" w:rsidRPr="00D16B79">
        <w:rPr>
          <w:lang w:val="en-US"/>
        </w:rPr>
        <w:t>6</w:t>
      </w:r>
      <w:r w:rsidR="00D73D04" w:rsidRPr="00D16B79">
        <w:rPr>
          <w:lang w:val="en-US"/>
        </w:rPr>
        <w:t>,</w:t>
      </w:r>
      <w:r w:rsidR="000E2BF1" w:rsidRPr="00D16B79">
        <w:rPr>
          <w:lang w:val="en-US"/>
        </w:rPr>
        <w:t xml:space="preserve"> we use secondary data to </w:t>
      </w:r>
      <w:r w:rsidR="002E369D" w:rsidRPr="00D16B79">
        <w:rPr>
          <w:lang w:val="en-US"/>
        </w:rPr>
        <w:t xml:space="preserve">assess </w:t>
      </w:r>
      <w:r w:rsidR="00265F58" w:rsidRPr="00D16B79">
        <w:rPr>
          <w:lang w:val="en-US"/>
        </w:rPr>
        <w:t>the ecological validity of these findings</w:t>
      </w:r>
      <w:r w:rsidRPr="00D16B79">
        <w:rPr>
          <w:lang w:val="en-US"/>
        </w:rPr>
        <w:t xml:space="preserve"> in </w:t>
      </w:r>
      <w:r w:rsidR="002E369D" w:rsidRPr="00D16B79">
        <w:rPr>
          <w:lang w:val="en-US"/>
        </w:rPr>
        <w:t xml:space="preserve">a </w:t>
      </w:r>
      <w:r w:rsidRPr="00D16B79">
        <w:rPr>
          <w:lang w:val="en-US"/>
        </w:rPr>
        <w:t xml:space="preserve">context where people are donating their own money to real </w:t>
      </w:r>
      <w:r w:rsidR="004A6DF9" w:rsidRPr="00D16B79">
        <w:rPr>
          <w:lang w:val="en-US"/>
        </w:rPr>
        <w:t>charitable projects</w:t>
      </w:r>
      <w:r w:rsidR="00265F58" w:rsidRPr="00D16B79">
        <w:rPr>
          <w:lang w:val="en-US"/>
        </w:rPr>
        <w:t xml:space="preserve">. </w:t>
      </w:r>
      <w:r w:rsidR="006321DF" w:rsidRPr="00D16B79">
        <w:rPr>
          <w:lang w:val="en-US"/>
        </w:rPr>
        <w:t>W</w:t>
      </w:r>
      <w:r w:rsidR="0039565E" w:rsidRPr="00D16B79">
        <w:rPr>
          <w:lang w:val="en-US"/>
        </w:rPr>
        <w:t>e</w:t>
      </w:r>
      <w:r w:rsidR="009F54C2" w:rsidRPr="00D16B79">
        <w:rPr>
          <w:lang w:val="en-US"/>
        </w:rPr>
        <w:t xml:space="preserve"> collect</w:t>
      </w:r>
      <w:r w:rsidR="002E369D" w:rsidRPr="00D16B79">
        <w:rPr>
          <w:lang w:val="en-US"/>
        </w:rPr>
        <w:t>ed</w:t>
      </w:r>
      <w:r w:rsidR="009F54C2" w:rsidRPr="00D16B79">
        <w:rPr>
          <w:lang w:val="en-US"/>
        </w:rPr>
        <w:t xml:space="preserve"> data</w:t>
      </w:r>
      <w:r w:rsidR="00622E99" w:rsidRPr="00D16B79">
        <w:rPr>
          <w:lang w:val="en-US"/>
        </w:rPr>
        <w:t xml:space="preserve"> </w:t>
      </w:r>
      <w:r w:rsidR="00740A66">
        <w:rPr>
          <w:lang w:val="en-US"/>
        </w:rPr>
        <w:t>for</w:t>
      </w:r>
      <w:r w:rsidR="00622E99" w:rsidRPr="00D16B79">
        <w:rPr>
          <w:lang w:val="en-US"/>
        </w:rPr>
        <w:t xml:space="preserve"> over 10,000 projects</w:t>
      </w:r>
      <w:r w:rsidR="009F54C2" w:rsidRPr="00D16B79">
        <w:rPr>
          <w:lang w:val="en-US"/>
        </w:rPr>
        <w:t xml:space="preserve"> from a </w:t>
      </w:r>
      <w:r w:rsidR="00D3317B">
        <w:rPr>
          <w:lang w:val="en-US"/>
        </w:rPr>
        <w:t>non-profit</w:t>
      </w:r>
      <w:r w:rsidR="00D3317B" w:rsidRPr="00D16B79">
        <w:rPr>
          <w:lang w:val="en-US"/>
        </w:rPr>
        <w:t xml:space="preserve"> </w:t>
      </w:r>
      <w:r w:rsidR="009F54C2" w:rsidRPr="00D16B79">
        <w:rPr>
          <w:lang w:val="en-US"/>
        </w:rPr>
        <w:t>micro-crowdfunding site</w:t>
      </w:r>
      <w:r w:rsidR="0039565E" w:rsidRPr="00D16B79">
        <w:rPr>
          <w:lang w:val="en-US"/>
        </w:rPr>
        <w:t xml:space="preserve">, </w:t>
      </w:r>
      <w:r w:rsidR="00AB100B" w:rsidRPr="00D16B79">
        <w:rPr>
          <w:i/>
          <w:iCs/>
          <w:lang w:val="en-US"/>
        </w:rPr>
        <w:t>k</w:t>
      </w:r>
      <w:r w:rsidR="00EA2DA5" w:rsidRPr="00D16B79">
        <w:rPr>
          <w:i/>
          <w:iCs/>
          <w:lang w:val="en-US"/>
        </w:rPr>
        <w:t>iva</w:t>
      </w:r>
      <w:r w:rsidR="00AB100B" w:rsidRPr="00D16B79">
        <w:rPr>
          <w:i/>
          <w:iCs/>
          <w:lang w:val="en-US"/>
        </w:rPr>
        <w:t>.org</w:t>
      </w:r>
      <w:r w:rsidR="00EA2DA5" w:rsidRPr="00D16B79">
        <w:rPr>
          <w:lang w:val="en-US"/>
        </w:rPr>
        <w:t xml:space="preserve">, </w:t>
      </w:r>
      <w:r w:rsidR="006D09D9" w:rsidRPr="00D16B79">
        <w:rPr>
          <w:lang w:val="en-US"/>
        </w:rPr>
        <w:t xml:space="preserve">to examine </w:t>
      </w:r>
      <w:r w:rsidR="00EA2DA5" w:rsidRPr="00D16B79">
        <w:rPr>
          <w:lang w:val="en-US"/>
        </w:rPr>
        <w:t xml:space="preserve">how progress towards a goal </w:t>
      </w:r>
      <w:r w:rsidR="0076511E" w:rsidRPr="00D16B79">
        <w:rPr>
          <w:lang w:val="en-US"/>
        </w:rPr>
        <w:t>relates to</w:t>
      </w:r>
      <w:r w:rsidR="00265F58" w:rsidRPr="00D16B79">
        <w:rPr>
          <w:lang w:val="en-US"/>
        </w:rPr>
        <w:t xml:space="preserve"> </w:t>
      </w:r>
      <w:r w:rsidR="00EA2DA5" w:rsidRPr="00D16B79">
        <w:rPr>
          <w:lang w:val="en-US"/>
        </w:rPr>
        <w:t xml:space="preserve">donations </w:t>
      </w:r>
      <w:r w:rsidR="00282EEF" w:rsidRPr="00D16B79">
        <w:rPr>
          <w:lang w:val="en-US"/>
        </w:rPr>
        <w:t>using</w:t>
      </w:r>
      <w:r w:rsidR="00EA2DA5" w:rsidRPr="00D16B79">
        <w:rPr>
          <w:lang w:val="en-US"/>
        </w:rPr>
        <w:t xml:space="preserve"> a regression framework</w:t>
      </w:r>
      <w:r w:rsidR="00265F58" w:rsidRPr="00D16B79">
        <w:rPr>
          <w:lang w:val="en-US"/>
        </w:rPr>
        <w:t xml:space="preserve"> </w:t>
      </w:r>
      <w:r w:rsidR="00282EEF" w:rsidRPr="00D16B79">
        <w:rPr>
          <w:lang w:val="en-US"/>
        </w:rPr>
        <w:t xml:space="preserve">that </w:t>
      </w:r>
      <w:r w:rsidR="00D00871" w:rsidRPr="00D16B79">
        <w:rPr>
          <w:lang w:val="en-US"/>
        </w:rPr>
        <w:t>control</w:t>
      </w:r>
      <w:r w:rsidR="00282EEF" w:rsidRPr="00D16B79">
        <w:rPr>
          <w:lang w:val="en-US"/>
        </w:rPr>
        <w:t xml:space="preserve">s </w:t>
      </w:r>
      <w:r w:rsidR="00D00871" w:rsidRPr="00D16B79">
        <w:rPr>
          <w:lang w:val="en-US"/>
        </w:rPr>
        <w:t xml:space="preserve">for </w:t>
      </w:r>
      <w:r w:rsidR="00265F58" w:rsidRPr="00D16B79">
        <w:rPr>
          <w:lang w:val="en-US"/>
        </w:rPr>
        <w:t xml:space="preserve">several </w:t>
      </w:r>
      <w:r w:rsidRPr="00D16B79">
        <w:rPr>
          <w:lang w:val="en-US"/>
        </w:rPr>
        <w:t xml:space="preserve">key </w:t>
      </w:r>
      <w:r w:rsidR="004A6DF9" w:rsidRPr="00D16B79">
        <w:rPr>
          <w:lang w:val="en-US"/>
        </w:rPr>
        <w:t>project</w:t>
      </w:r>
      <w:r w:rsidR="00D73D04" w:rsidRPr="00D16B79">
        <w:rPr>
          <w:lang w:val="en-US"/>
        </w:rPr>
        <w:t xml:space="preserve"> characteristics</w:t>
      </w:r>
      <w:r w:rsidR="00EA2DA5" w:rsidRPr="00D16B79">
        <w:rPr>
          <w:lang w:val="en-US"/>
        </w:rPr>
        <w:t>.</w:t>
      </w:r>
      <w:r w:rsidR="008E1E6E" w:rsidRPr="00D16B79">
        <w:rPr>
          <w:lang w:val="en-US"/>
        </w:rPr>
        <w:t xml:space="preserve"> </w:t>
      </w:r>
    </w:p>
    <w:p w14:paraId="0F0D4A17" w14:textId="5BFCEEB6" w:rsidR="00906CBC" w:rsidRPr="00D16B79" w:rsidRDefault="00DA4D3B" w:rsidP="004253B1">
      <w:pPr>
        <w:spacing w:line="480" w:lineRule="auto"/>
        <w:ind w:firstLine="720"/>
        <w:rPr>
          <w:lang w:val="en-US"/>
        </w:rPr>
      </w:pPr>
      <w:r w:rsidRPr="00D16B79">
        <w:rPr>
          <w:lang w:val="en-US"/>
        </w:rPr>
        <w:t>Kiva,</w:t>
      </w:r>
      <w:r w:rsidR="00E5739B" w:rsidRPr="00D16B79">
        <w:rPr>
          <w:lang w:val="en-US"/>
        </w:rPr>
        <w:t xml:space="preserve"> </w:t>
      </w:r>
      <w:r w:rsidR="00363957" w:rsidRPr="00D16B79">
        <w:rPr>
          <w:lang w:val="en-US"/>
        </w:rPr>
        <w:t xml:space="preserve">a </w:t>
      </w:r>
      <w:r w:rsidR="00E5739B" w:rsidRPr="00D16B79">
        <w:rPr>
          <w:lang w:val="en-US"/>
        </w:rPr>
        <w:t>non-profit organization that helps underserved communities, often in developing countries</w:t>
      </w:r>
      <w:r w:rsidR="005C7AFE" w:rsidRPr="00D16B79">
        <w:rPr>
          <w:lang w:val="en-US"/>
        </w:rPr>
        <w:t>,</w:t>
      </w:r>
      <w:r w:rsidR="00E5739B" w:rsidRPr="00D16B79">
        <w:rPr>
          <w:lang w:val="en-US"/>
        </w:rPr>
        <w:t xml:space="preserve"> raise</w:t>
      </w:r>
      <w:r w:rsidR="004E21A9" w:rsidRPr="00D16B79">
        <w:rPr>
          <w:lang w:val="en-US"/>
        </w:rPr>
        <w:t>s</w:t>
      </w:r>
      <w:r w:rsidR="00E5739B" w:rsidRPr="00D16B79">
        <w:rPr>
          <w:lang w:val="en-US"/>
        </w:rPr>
        <w:t xml:space="preserve"> money through </w:t>
      </w:r>
      <w:r w:rsidR="00903143" w:rsidRPr="00D16B79">
        <w:rPr>
          <w:lang w:val="en-US"/>
        </w:rPr>
        <w:t xml:space="preserve">micro-crowdfunding </w:t>
      </w:r>
      <w:r w:rsidR="00E5739B" w:rsidRPr="00D16B79">
        <w:rPr>
          <w:lang w:val="en-US"/>
        </w:rPr>
        <w:t>zero-interest loans. W</w:t>
      </w:r>
      <w:r w:rsidR="004253B1" w:rsidRPr="00D16B79">
        <w:rPr>
          <w:lang w:val="en-US"/>
        </w:rPr>
        <w:t xml:space="preserve">e collected data from </w:t>
      </w:r>
      <w:r w:rsidR="004253B1" w:rsidRPr="00D16B79">
        <w:rPr>
          <w:i/>
          <w:iCs/>
          <w:lang w:val="en-US"/>
        </w:rPr>
        <w:t>kiva.org</w:t>
      </w:r>
      <w:r w:rsidR="00903143" w:rsidRPr="00D16B79">
        <w:rPr>
          <w:lang w:val="en-US"/>
        </w:rPr>
        <w:t xml:space="preserve"> </w:t>
      </w:r>
      <w:r w:rsidR="004253B1" w:rsidRPr="00D16B79">
        <w:rPr>
          <w:lang w:val="en-US"/>
        </w:rPr>
        <w:t xml:space="preserve">using </w:t>
      </w:r>
      <w:r w:rsidR="004E21A9" w:rsidRPr="00D16B79">
        <w:rPr>
          <w:lang w:val="en-US"/>
        </w:rPr>
        <w:t xml:space="preserve">its </w:t>
      </w:r>
      <w:r w:rsidR="004253B1" w:rsidRPr="00D16B79">
        <w:rPr>
          <w:lang w:val="en-US"/>
        </w:rPr>
        <w:t>API to pull data for 73 days</w:t>
      </w:r>
      <w:r w:rsidR="00E5739B" w:rsidRPr="00D16B79">
        <w:rPr>
          <w:lang w:val="en-US"/>
        </w:rPr>
        <w:t xml:space="preserve"> </w:t>
      </w:r>
      <w:r w:rsidR="00CD2B81" w:rsidRPr="00D16B79">
        <w:rPr>
          <w:lang w:val="en-US"/>
        </w:rPr>
        <w:t>(until Kiva</w:t>
      </w:r>
      <w:r w:rsidR="002E76C1" w:rsidRPr="00D16B79">
        <w:rPr>
          <w:lang w:val="en-US"/>
        </w:rPr>
        <w:t xml:space="preserve"> planned to</w:t>
      </w:r>
      <w:r w:rsidR="00CD2B81" w:rsidRPr="00D16B79">
        <w:rPr>
          <w:lang w:val="en-US"/>
        </w:rPr>
        <w:t xml:space="preserve"> </w:t>
      </w:r>
      <w:r w:rsidR="009A413B" w:rsidRPr="00D16B79">
        <w:rPr>
          <w:lang w:val="en-US"/>
        </w:rPr>
        <w:t xml:space="preserve">make a </w:t>
      </w:r>
      <w:r w:rsidR="002E76C1" w:rsidRPr="00D16B79">
        <w:rPr>
          <w:lang w:val="en-US"/>
        </w:rPr>
        <w:t xml:space="preserve">change </w:t>
      </w:r>
      <w:r w:rsidR="009A413B" w:rsidRPr="00D16B79">
        <w:rPr>
          <w:lang w:val="en-US"/>
        </w:rPr>
        <w:t xml:space="preserve">to </w:t>
      </w:r>
      <w:r w:rsidR="002E76C1" w:rsidRPr="00D16B79">
        <w:rPr>
          <w:lang w:val="en-US"/>
        </w:rPr>
        <w:t xml:space="preserve">its lending policy) </w:t>
      </w:r>
      <w:r w:rsidR="00E5739B" w:rsidRPr="00D16B79">
        <w:rPr>
          <w:lang w:val="en-US"/>
        </w:rPr>
        <w:t>and collected over 32 million observations of more than 10,000 projects during this period.</w:t>
      </w:r>
      <w:r w:rsidR="007F7280" w:rsidRPr="00D16B79">
        <w:rPr>
          <w:lang w:val="en-US"/>
        </w:rPr>
        <w:t xml:space="preserve"> For the analyses presented here</w:t>
      </w:r>
      <w:r w:rsidR="003D3446" w:rsidRPr="00D16B79">
        <w:rPr>
          <w:lang w:val="en-US"/>
        </w:rPr>
        <w:t>,</w:t>
      </w:r>
      <w:r w:rsidR="007F7280" w:rsidRPr="00D16B79">
        <w:rPr>
          <w:lang w:val="en-US"/>
        </w:rPr>
        <w:t xml:space="preserve"> we use</w:t>
      </w:r>
      <w:r w:rsidR="00E364A8" w:rsidRPr="00D16B79">
        <w:rPr>
          <w:lang w:val="en-US"/>
        </w:rPr>
        <w:t>d a 10-minute interval dataset</w:t>
      </w:r>
      <w:r w:rsidR="006270FD" w:rsidRPr="00D16B79">
        <w:rPr>
          <w:lang w:val="en-US"/>
        </w:rPr>
        <w:t xml:space="preserve"> (i.e., using observations collected every 10 minute</w:t>
      </w:r>
      <w:r w:rsidR="004A6DF9" w:rsidRPr="00D16B79">
        <w:rPr>
          <w:lang w:val="en-US"/>
        </w:rPr>
        <w:t>s</w:t>
      </w:r>
      <w:r w:rsidR="006270FD" w:rsidRPr="00D16B79">
        <w:rPr>
          <w:lang w:val="en-US"/>
        </w:rPr>
        <w:t>)</w:t>
      </w:r>
      <w:r w:rsidR="00E364A8" w:rsidRPr="00D16B79">
        <w:rPr>
          <w:lang w:val="en-US"/>
        </w:rPr>
        <w:t xml:space="preserve"> and conducted robustness checks</w:t>
      </w:r>
      <w:r w:rsidR="003D3446" w:rsidRPr="00D16B79">
        <w:rPr>
          <w:lang w:val="en-US"/>
        </w:rPr>
        <w:t xml:space="preserve"> using 30</w:t>
      </w:r>
      <w:r w:rsidR="004E21A9" w:rsidRPr="00D16B79">
        <w:rPr>
          <w:lang w:val="en-US"/>
        </w:rPr>
        <w:t>-</w:t>
      </w:r>
      <w:r w:rsidR="003D3446" w:rsidRPr="00D16B79">
        <w:rPr>
          <w:lang w:val="en-US"/>
        </w:rPr>
        <w:t xml:space="preserve"> and 60-minute interval datasets</w:t>
      </w:r>
      <w:r w:rsidR="000848D5" w:rsidRPr="00D16B79">
        <w:rPr>
          <w:lang w:val="en-US"/>
        </w:rPr>
        <w:t xml:space="preserve"> </w:t>
      </w:r>
      <w:r w:rsidR="003D3446" w:rsidRPr="00D16B79">
        <w:rPr>
          <w:lang w:val="en-US"/>
        </w:rPr>
        <w:t>(</w:t>
      </w:r>
      <w:r w:rsidR="000848D5" w:rsidRPr="00D16B79">
        <w:rPr>
          <w:lang w:val="en-US"/>
        </w:rPr>
        <w:t xml:space="preserve">see </w:t>
      </w:r>
      <w:r w:rsidR="007F7280" w:rsidRPr="00D16B79">
        <w:rPr>
          <w:lang w:val="en-US"/>
        </w:rPr>
        <w:t>Web Appendix</w:t>
      </w:r>
      <w:r w:rsidR="007C11F3" w:rsidRPr="00D16B79">
        <w:rPr>
          <w:lang w:val="en-US"/>
        </w:rPr>
        <w:t xml:space="preserve"> </w:t>
      </w:r>
      <w:r w:rsidR="00E55B58" w:rsidRPr="00D16B79">
        <w:rPr>
          <w:lang w:val="en-US"/>
        </w:rPr>
        <w:t>B</w:t>
      </w:r>
      <w:r w:rsidR="000848D5" w:rsidRPr="00D16B79">
        <w:rPr>
          <w:lang w:val="en-US"/>
        </w:rPr>
        <w:t xml:space="preserve"> for these additional analyses</w:t>
      </w:r>
      <w:r w:rsidR="003D3446" w:rsidRPr="00D16B79">
        <w:rPr>
          <w:lang w:val="en-US"/>
        </w:rPr>
        <w:t>)</w:t>
      </w:r>
      <w:r w:rsidR="007F7280" w:rsidRPr="00D16B79">
        <w:rPr>
          <w:lang w:val="en-US"/>
        </w:rPr>
        <w:t>.</w:t>
      </w:r>
      <w:r w:rsidR="00E5739B" w:rsidRPr="00D16B79">
        <w:rPr>
          <w:lang w:val="en-US"/>
        </w:rPr>
        <w:t xml:space="preserve"> </w:t>
      </w:r>
      <w:r w:rsidR="008B462B" w:rsidRPr="00D16B79">
        <w:rPr>
          <w:lang w:val="en-US"/>
        </w:rPr>
        <w:t xml:space="preserve">The </w:t>
      </w:r>
      <w:r w:rsidR="009A413B" w:rsidRPr="00D16B79">
        <w:rPr>
          <w:lang w:val="en-US"/>
        </w:rPr>
        <w:t xml:space="preserve">Kiva </w:t>
      </w:r>
      <w:r w:rsidR="004253B1" w:rsidRPr="00D16B79">
        <w:rPr>
          <w:lang w:val="en-US"/>
        </w:rPr>
        <w:t xml:space="preserve">data consist of </w:t>
      </w:r>
      <w:r w:rsidR="00FD6C19" w:rsidRPr="00D16B79">
        <w:rPr>
          <w:lang w:val="en-US"/>
        </w:rPr>
        <w:t>project-</w:t>
      </w:r>
      <w:r w:rsidR="004253B1" w:rsidRPr="00D16B79">
        <w:rPr>
          <w:lang w:val="en-US"/>
        </w:rPr>
        <w:t xml:space="preserve">level information </w:t>
      </w:r>
      <w:r w:rsidR="009A413B" w:rsidRPr="00D16B79">
        <w:rPr>
          <w:lang w:val="en-US"/>
        </w:rPr>
        <w:t xml:space="preserve">that remains stable over time </w:t>
      </w:r>
      <w:r w:rsidR="004253B1" w:rsidRPr="00D16B79">
        <w:rPr>
          <w:lang w:val="en-US"/>
        </w:rPr>
        <w:t xml:space="preserve">such as project ID and funding goal, along with </w:t>
      </w:r>
      <w:r w:rsidR="009A413B" w:rsidRPr="00D16B79">
        <w:rPr>
          <w:lang w:val="en-US"/>
        </w:rPr>
        <w:t xml:space="preserve">project </w:t>
      </w:r>
      <w:r w:rsidR="004253B1" w:rsidRPr="00D16B79">
        <w:rPr>
          <w:lang w:val="en-US"/>
        </w:rPr>
        <w:t>information</w:t>
      </w:r>
      <w:r w:rsidR="009A413B" w:rsidRPr="00D16B79">
        <w:rPr>
          <w:lang w:val="en-US"/>
        </w:rPr>
        <w:t xml:space="preserve"> that changes over time</w:t>
      </w:r>
      <w:r w:rsidR="00FD6C19" w:rsidRPr="00D16B79">
        <w:rPr>
          <w:lang w:val="en-US"/>
        </w:rPr>
        <w:t>,</w:t>
      </w:r>
      <w:r w:rsidR="004253B1" w:rsidRPr="00D16B79">
        <w:rPr>
          <w:lang w:val="en-US"/>
        </w:rPr>
        <w:t xml:space="preserve"> including funded amount, presentation order (i.e., </w:t>
      </w:r>
      <w:r w:rsidR="004E21A9" w:rsidRPr="00D16B79">
        <w:rPr>
          <w:lang w:val="en-US"/>
        </w:rPr>
        <w:t>how</w:t>
      </w:r>
      <w:r w:rsidR="004253B1" w:rsidRPr="00D16B79">
        <w:rPr>
          <w:lang w:val="en-US"/>
        </w:rPr>
        <w:t xml:space="preserve"> </w:t>
      </w:r>
      <w:r w:rsidR="008B462B" w:rsidRPr="00D16B79">
        <w:rPr>
          <w:lang w:val="en-US"/>
        </w:rPr>
        <w:t>projects are ordered in search results by default</w:t>
      </w:r>
      <w:r w:rsidR="004253B1" w:rsidRPr="00D16B79">
        <w:rPr>
          <w:lang w:val="en-US"/>
        </w:rPr>
        <w:t>)</w:t>
      </w:r>
      <w:r w:rsidR="00992A63" w:rsidRPr="00D16B79">
        <w:rPr>
          <w:lang w:val="en-US"/>
        </w:rPr>
        <w:t xml:space="preserve">, </w:t>
      </w:r>
      <w:r w:rsidR="00FD6C19" w:rsidRPr="00D16B79">
        <w:rPr>
          <w:lang w:val="en-US"/>
        </w:rPr>
        <w:t xml:space="preserve">and </w:t>
      </w:r>
      <w:r w:rsidR="00992A63" w:rsidRPr="00D16B79">
        <w:rPr>
          <w:lang w:val="en-US"/>
        </w:rPr>
        <w:t>time remaining (i.e., the time left to collect funds)</w:t>
      </w:r>
      <w:r w:rsidR="004253B1" w:rsidRPr="00D16B79">
        <w:rPr>
          <w:lang w:val="en-US"/>
        </w:rPr>
        <w:t xml:space="preserve">. </w:t>
      </w:r>
    </w:p>
    <w:p w14:paraId="0A2C7AE7" w14:textId="3B5B3C61" w:rsidR="000D2E00" w:rsidRPr="00D16B79" w:rsidRDefault="00171F88" w:rsidP="006967FF">
      <w:pPr>
        <w:spacing w:line="480" w:lineRule="auto"/>
        <w:ind w:firstLine="720"/>
        <w:rPr>
          <w:lang w:val="en-US"/>
        </w:rPr>
      </w:pPr>
      <w:r w:rsidRPr="00D16B79">
        <w:rPr>
          <w:rFonts w:ascii="Times New Roman" w:eastAsia="Cambria" w:hAnsi="Times New Roman"/>
          <w:lang w:val="en-US" w:eastAsia="en-US"/>
        </w:rPr>
        <w:lastRenderedPageBreak/>
        <w:t xml:space="preserve">We are thus able to follow a project as it raises funds and gets closer to reaching its goal. </w:t>
      </w:r>
      <w:r w:rsidR="00F80BB5" w:rsidRPr="00D16B79">
        <w:rPr>
          <w:rFonts w:ascii="Times New Roman" w:eastAsia="Cambria" w:hAnsi="Times New Roman"/>
          <w:lang w:val="en-US" w:eastAsia="en-US"/>
        </w:rPr>
        <w:t>We use</w:t>
      </w:r>
      <w:r w:rsidR="00DF72C3" w:rsidRPr="00D16B79">
        <w:rPr>
          <w:rFonts w:ascii="Times New Roman" w:eastAsia="Cambria" w:hAnsi="Times New Roman"/>
          <w:lang w:val="en-US" w:eastAsia="en-US"/>
        </w:rPr>
        <w:t xml:space="preserve"> </w:t>
      </w:r>
      <w:r w:rsidR="00903143" w:rsidRPr="00D16B79">
        <w:rPr>
          <w:rFonts w:ascii="Times New Roman" w:eastAsia="Cambria" w:hAnsi="Times New Roman"/>
          <w:lang w:val="en-US" w:eastAsia="en-US"/>
        </w:rPr>
        <w:t xml:space="preserve">the </w:t>
      </w:r>
      <w:r w:rsidR="004E6967" w:rsidRPr="00D16B79">
        <w:rPr>
          <w:rFonts w:ascii="Times New Roman" w:eastAsia="Cambria" w:hAnsi="Times New Roman"/>
          <w:lang w:val="en-US" w:eastAsia="en-US"/>
        </w:rPr>
        <w:t xml:space="preserve">change </w:t>
      </w:r>
      <w:r w:rsidR="00587593" w:rsidRPr="00D16B79">
        <w:rPr>
          <w:rFonts w:ascii="Times New Roman" w:eastAsia="Cambria" w:hAnsi="Times New Roman"/>
          <w:lang w:val="en-US" w:eastAsia="en-US"/>
        </w:rPr>
        <w:t xml:space="preserve">in </w:t>
      </w:r>
      <w:r w:rsidR="000223B6" w:rsidRPr="00D16B79">
        <w:rPr>
          <w:rFonts w:ascii="Times New Roman" w:eastAsia="Cambria" w:hAnsi="Times New Roman"/>
          <w:i/>
          <w:lang w:val="en-US" w:eastAsia="en-US"/>
        </w:rPr>
        <w:t>Funding</w:t>
      </w:r>
      <w:r w:rsidR="000223B6" w:rsidRPr="00D16B79">
        <w:rPr>
          <w:rFonts w:ascii="Times New Roman" w:eastAsia="Cambria" w:hAnsi="Times New Roman"/>
          <w:lang w:val="en-US" w:eastAsia="en-US"/>
        </w:rPr>
        <w:t xml:space="preserve"> </w:t>
      </w:r>
      <w:r w:rsidR="00587593" w:rsidRPr="00D16B79">
        <w:rPr>
          <w:rFonts w:ascii="Times New Roman" w:eastAsia="Cambria" w:hAnsi="Times New Roman"/>
          <w:lang w:val="en-US" w:eastAsia="en-US"/>
        </w:rPr>
        <w:t>amount</w:t>
      </w:r>
      <w:r w:rsidR="000223B6" w:rsidRPr="00D16B79">
        <w:rPr>
          <w:rFonts w:ascii="Times New Roman" w:eastAsia="Cambria" w:hAnsi="Times New Roman"/>
          <w:lang w:val="en-US" w:eastAsia="en-US"/>
        </w:rPr>
        <w:t xml:space="preserve"> (the total amount raised)</w:t>
      </w:r>
      <w:r w:rsidR="00587593" w:rsidRPr="00D16B79">
        <w:rPr>
          <w:rFonts w:ascii="Times New Roman" w:eastAsia="Cambria" w:hAnsi="Times New Roman"/>
          <w:lang w:val="en-US" w:eastAsia="en-US"/>
        </w:rPr>
        <w:t xml:space="preserve"> over time for each project, </w:t>
      </w:r>
      <w:r w:rsidR="00F80BB5" w:rsidRPr="00D16B79">
        <w:rPr>
          <w:rFonts w:ascii="Times New Roman" w:eastAsia="Cambria" w:hAnsi="Times New Roman"/>
          <w:lang w:val="en-US" w:eastAsia="en-US"/>
        </w:rPr>
        <w:t xml:space="preserve">as the dependent variable. We </w:t>
      </w:r>
      <w:r w:rsidR="00903143" w:rsidRPr="00D16B79">
        <w:rPr>
          <w:rFonts w:ascii="Times New Roman" w:eastAsia="Cambria" w:hAnsi="Times New Roman"/>
          <w:lang w:val="en-US" w:eastAsia="en-US"/>
        </w:rPr>
        <w:t xml:space="preserve">refer to </w:t>
      </w:r>
      <w:r w:rsidR="00F80BB5" w:rsidRPr="00D16B79">
        <w:rPr>
          <w:rFonts w:ascii="Times New Roman" w:eastAsia="Cambria" w:hAnsi="Times New Roman"/>
          <w:lang w:val="en-US" w:eastAsia="en-US"/>
        </w:rPr>
        <w:t xml:space="preserve">this </w:t>
      </w:r>
      <w:r w:rsidR="00903143" w:rsidRPr="00D16B79">
        <w:rPr>
          <w:rFonts w:ascii="Times New Roman" w:eastAsia="Cambria" w:hAnsi="Times New Roman"/>
          <w:lang w:val="en-US" w:eastAsia="en-US"/>
        </w:rPr>
        <w:t xml:space="preserve">as </w:t>
      </w:r>
      <w:r w:rsidR="00286523" w:rsidRPr="00D16B79">
        <w:rPr>
          <w:rFonts w:ascii="Times New Roman" w:eastAsia="Cambria" w:hAnsi="Times New Roman"/>
          <w:i/>
          <w:lang w:val="en-US" w:eastAsia="en-US"/>
        </w:rPr>
        <w:t>Donation</w:t>
      </w:r>
      <w:r w:rsidR="003117F2" w:rsidRPr="00D16B79">
        <w:rPr>
          <w:rFonts w:ascii="Times New Roman" w:eastAsia="Cambria" w:hAnsi="Times New Roman"/>
          <w:lang w:val="en-US" w:eastAsia="en-US"/>
        </w:rPr>
        <w:t xml:space="preserve"> (</w:t>
      </w:r>
      <w:r w:rsidR="000223B6" w:rsidRPr="00D16B79">
        <w:rPr>
          <w:rFonts w:ascii="Times New Roman" w:eastAsia="Cambria" w:hAnsi="Times New Roman"/>
          <w:lang w:val="en-US" w:eastAsia="en-US"/>
        </w:rPr>
        <w:t xml:space="preserve">the </w:t>
      </w:r>
      <w:r w:rsidR="000223B6" w:rsidRPr="00D16B79">
        <w:rPr>
          <w:rFonts w:ascii="Times New Roman" w:eastAsia="Cambria" w:hAnsi="Times New Roman"/>
          <w:i/>
          <w:lang w:val="en-US" w:eastAsia="en-US"/>
        </w:rPr>
        <w:t xml:space="preserve">Donation </w:t>
      </w:r>
      <w:r w:rsidR="000223B6" w:rsidRPr="00D16B79">
        <w:rPr>
          <w:rFonts w:ascii="Times New Roman" w:eastAsia="Cambria" w:hAnsi="Times New Roman"/>
          <w:lang w:val="en-US" w:eastAsia="en-US"/>
        </w:rPr>
        <w:t>variable indicates the amount raised during each 10-minute interval)</w:t>
      </w:r>
      <w:r w:rsidR="00F80BB5" w:rsidRPr="00D16B79">
        <w:rPr>
          <w:rFonts w:ascii="Times New Roman" w:eastAsia="Cambria" w:hAnsi="Times New Roman"/>
          <w:lang w:val="en-US" w:eastAsia="en-US"/>
        </w:rPr>
        <w:t xml:space="preserve"> and</w:t>
      </w:r>
      <w:r w:rsidR="005D0BA0" w:rsidRPr="00D16B79">
        <w:rPr>
          <w:rFonts w:ascii="Times New Roman" w:eastAsia="Cambria" w:hAnsi="Times New Roman"/>
          <w:lang w:val="en-US" w:eastAsia="en-US"/>
        </w:rPr>
        <w:t xml:space="preserve"> standardize across projects of different sizes, </w:t>
      </w:r>
      <w:r w:rsidR="00F80BB5" w:rsidRPr="00D16B79">
        <w:rPr>
          <w:rFonts w:ascii="Times New Roman" w:eastAsia="Cambria" w:hAnsi="Times New Roman"/>
          <w:lang w:val="en-US" w:eastAsia="en-US"/>
        </w:rPr>
        <w:t xml:space="preserve">by </w:t>
      </w:r>
      <w:r w:rsidR="005D0BA0" w:rsidRPr="00D16B79">
        <w:rPr>
          <w:rFonts w:ascii="Times New Roman" w:eastAsia="Cambria" w:hAnsi="Times New Roman"/>
          <w:bCs/>
          <w:lang w:val="en-US" w:eastAsia="en-US"/>
        </w:rPr>
        <w:t>calculat</w:t>
      </w:r>
      <w:r w:rsidR="00F80BB5" w:rsidRPr="00D16B79">
        <w:rPr>
          <w:rFonts w:ascii="Times New Roman" w:eastAsia="Cambria" w:hAnsi="Times New Roman"/>
          <w:bCs/>
          <w:lang w:val="en-US" w:eastAsia="en-US"/>
        </w:rPr>
        <w:t>ing</w:t>
      </w:r>
      <w:r w:rsidR="005D0BA0" w:rsidRPr="00D16B79">
        <w:rPr>
          <w:rFonts w:ascii="Times New Roman" w:eastAsia="Cambria" w:hAnsi="Times New Roman"/>
          <w:bCs/>
          <w:lang w:val="en-US" w:eastAsia="en-US"/>
        </w:rPr>
        <w:t xml:space="preserve"> </w:t>
      </w:r>
      <w:r w:rsidR="00587593" w:rsidRPr="00D16B79">
        <w:rPr>
          <w:rFonts w:ascii="Times New Roman" w:eastAsia="Cambria" w:hAnsi="Times New Roman"/>
          <w:bCs/>
          <w:lang w:val="en-US" w:eastAsia="en-US"/>
        </w:rPr>
        <w:t xml:space="preserve">the </w:t>
      </w:r>
      <w:r w:rsidR="000223B6" w:rsidRPr="00D16B79">
        <w:rPr>
          <w:rFonts w:ascii="Times New Roman" w:eastAsia="Cambria" w:hAnsi="Times New Roman"/>
          <w:bCs/>
          <w:lang w:val="en-US" w:eastAsia="en-US"/>
        </w:rPr>
        <w:t>change in funding</w:t>
      </w:r>
      <w:r w:rsidR="00587593" w:rsidRPr="00D16B79">
        <w:rPr>
          <w:rFonts w:ascii="Times New Roman" w:eastAsia="Cambria" w:hAnsi="Times New Roman"/>
          <w:bCs/>
          <w:lang w:val="en-US" w:eastAsia="en-US"/>
        </w:rPr>
        <w:t xml:space="preserve"> for </w:t>
      </w:r>
      <w:r w:rsidR="005D0BA0" w:rsidRPr="00D16B79">
        <w:rPr>
          <w:rFonts w:ascii="Times New Roman" w:eastAsia="Cambria" w:hAnsi="Times New Roman"/>
          <w:bCs/>
          <w:lang w:val="en-US" w:eastAsia="en-US"/>
        </w:rPr>
        <w:t xml:space="preserve">each </w:t>
      </w:r>
      <w:r w:rsidR="00587593" w:rsidRPr="00D16B79">
        <w:rPr>
          <w:rFonts w:ascii="Times New Roman" w:eastAsia="Cambria" w:hAnsi="Times New Roman"/>
          <w:bCs/>
          <w:lang w:val="en-US" w:eastAsia="en-US"/>
        </w:rPr>
        <w:t xml:space="preserve">project </w:t>
      </w:r>
      <w:r w:rsidR="00587593" w:rsidRPr="00D16B79">
        <w:rPr>
          <w:rFonts w:ascii="Times New Roman" w:eastAsia="Cambria" w:hAnsi="Times New Roman"/>
          <w:bCs/>
          <w:i/>
          <w:lang w:val="en-US" w:eastAsia="en-US"/>
        </w:rPr>
        <w:t>j</w:t>
      </w:r>
      <w:r w:rsidR="00587593" w:rsidRPr="00D16B79">
        <w:rPr>
          <w:rFonts w:ascii="Times New Roman" w:eastAsia="Cambria" w:hAnsi="Times New Roman"/>
          <w:bCs/>
          <w:lang w:val="en-US" w:eastAsia="en-US"/>
        </w:rPr>
        <w:t xml:space="preserve"> from</w:t>
      </w:r>
      <w:r w:rsidR="005D0BA0" w:rsidRPr="00D16B79">
        <w:rPr>
          <w:rFonts w:ascii="Times New Roman" w:eastAsia="Cambria" w:hAnsi="Times New Roman"/>
          <w:bCs/>
          <w:lang w:val="en-US" w:eastAsia="en-US"/>
        </w:rPr>
        <w:t xml:space="preserve"> time</w:t>
      </w:r>
      <w:r w:rsidR="00587593" w:rsidRPr="00D16B79">
        <w:rPr>
          <w:rFonts w:ascii="Times New Roman" w:eastAsia="Cambria" w:hAnsi="Times New Roman"/>
          <w:bCs/>
          <w:lang w:val="en-US" w:eastAsia="en-US"/>
        </w:rPr>
        <w:t xml:space="preserve"> </w:t>
      </w:r>
      <w:r w:rsidR="00587593" w:rsidRPr="00D16B79">
        <w:rPr>
          <w:rFonts w:ascii="Times New Roman" w:eastAsia="Cambria" w:hAnsi="Times New Roman"/>
          <w:bCs/>
          <w:i/>
          <w:lang w:val="en-US" w:eastAsia="en-US"/>
        </w:rPr>
        <w:t>t</w:t>
      </w:r>
      <w:r w:rsidR="00116A44" w:rsidRPr="00D16B79">
        <w:rPr>
          <w:rFonts w:ascii="Times New Roman" w:eastAsia="Cambria" w:hAnsi="Times New Roman"/>
          <w:bCs/>
          <w:i/>
          <w:lang w:val="en-US" w:eastAsia="en-US"/>
        </w:rPr>
        <w:t xml:space="preserve"> </w:t>
      </w:r>
      <w:r w:rsidR="00587593" w:rsidRPr="00D16B79">
        <w:rPr>
          <w:rFonts w:ascii="Times New Roman" w:eastAsia="Cambria" w:hAnsi="Times New Roman"/>
          <w:bCs/>
          <w:i/>
          <w:lang w:val="en-US" w:eastAsia="en-US"/>
        </w:rPr>
        <w:t>-</w:t>
      </w:r>
      <w:r w:rsidR="00116A44" w:rsidRPr="00D16B79">
        <w:rPr>
          <w:rFonts w:ascii="Times New Roman" w:eastAsia="Cambria" w:hAnsi="Times New Roman"/>
          <w:bCs/>
          <w:i/>
          <w:lang w:val="en-US" w:eastAsia="en-US"/>
        </w:rPr>
        <w:t xml:space="preserve"> </w:t>
      </w:r>
      <w:r w:rsidR="00587593" w:rsidRPr="00D16B79">
        <w:rPr>
          <w:rFonts w:ascii="Times New Roman" w:eastAsia="Cambria" w:hAnsi="Times New Roman"/>
          <w:bCs/>
          <w:i/>
          <w:lang w:val="en-US" w:eastAsia="en-US"/>
        </w:rPr>
        <w:t>1</w:t>
      </w:r>
      <w:r w:rsidR="00587593" w:rsidRPr="00D16B79">
        <w:rPr>
          <w:rFonts w:ascii="Times New Roman" w:eastAsia="Cambria" w:hAnsi="Times New Roman"/>
          <w:bCs/>
          <w:lang w:val="en-US" w:eastAsia="en-US"/>
        </w:rPr>
        <w:t xml:space="preserve"> to</w:t>
      </w:r>
      <w:r w:rsidR="005D0BA0" w:rsidRPr="00D16B79">
        <w:rPr>
          <w:rFonts w:ascii="Times New Roman" w:eastAsia="Cambria" w:hAnsi="Times New Roman"/>
          <w:bCs/>
          <w:lang w:val="en-US" w:eastAsia="en-US"/>
        </w:rPr>
        <w:t xml:space="preserve"> time</w:t>
      </w:r>
      <w:r w:rsidR="00587593" w:rsidRPr="00D16B79">
        <w:rPr>
          <w:rFonts w:ascii="Times New Roman" w:eastAsia="Cambria" w:hAnsi="Times New Roman"/>
          <w:bCs/>
          <w:lang w:val="en-US" w:eastAsia="en-US"/>
        </w:rPr>
        <w:t xml:space="preserve"> </w:t>
      </w:r>
      <w:r w:rsidR="00587593" w:rsidRPr="00D16B79">
        <w:rPr>
          <w:rFonts w:ascii="Times New Roman" w:eastAsia="Cambria" w:hAnsi="Times New Roman"/>
          <w:bCs/>
          <w:i/>
          <w:lang w:val="en-US" w:eastAsia="en-US"/>
        </w:rPr>
        <w:t>t</w:t>
      </w:r>
      <w:r w:rsidR="00AA2AB1" w:rsidRPr="00D16B79">
        <w:rPr>
          <w:rFonts w:ascii="Times New Roman" w:eastAsia="Cambria" w:hAnsi="Times New Roman"/>
          <w:bCs/>
          <w:iCs/>
          <w:lang w:val="en-US" w:eastAsia="en-US"/>
        </w:rPr>
        <w:t xml:space="preserve">, </w:t>
      </w:r>
      <w:r w:rsidR="005D0BA0" w:rsidRPr="00D16B79">
        <w:rPr>
          <w:rFonts w:ascii="Times New Roman" w:eastAsia="Cambria" w:hAnsi="Times New Roman"/>
          <w:bCs/>
          <w:iCs/>
          <w:lang w:val="en-US" w:eastAsia="en-US"/>
        </w:rPr>
        <w:t xml:space="preserve">divided </w:t>
      </w:r>
      <w:r w:rsidR="00AA2AB1" w:rsidRPr="00D16B79">
        <w:rPr>
          <w:rFonts w:ascii="Times New Roman" w:eastAsia="Cambria" w:hAnsi="Times New Roman"/>
          <w:bCs/>
          <w:iCs/>
          <w:lang w:val="en-US" w:eastAsia="en-US"/>
        </w:rPr>
        <w:t xml:space="preserve">by </w:t>
      </w:r>
      <w:r w:rsidR="005D0BA0" w:rsidRPr="00D16B79">
        <w:rPr>
          <w:rFonts w:ascii="Times New Roman" w:eastAsia="Cambria" w:hAnsi="Times New Roman"/>
          <w:bCs/>
          <w:iCs/>
          <w:lang w:val="en-US" w:eastAsia="en-US"/>
        </w:rPr>
        <w:t xml:space="preserve">the </w:t>
      </w:r>
      <w:r w:rsidR="00AA2AB1" w:rsidRPr="00D16B79">
        <w:rPr>
          <w:rFonts w:ascii="Times New Roman" w:eastAsia="Cambria" w:hAnsi="Times New Roman"/>
          <w:bCs/>
          <w:iCs/>
          <w:lang w:val="en-US" w:eastAsia="en-US"/>
        </w:rPr>
        <w:t>project</w:t>
      </w:r>
      <w:r w:rsidR="005D0BA0" w:rsidRPr="00D16B79">
        <w:rPr>
          <w:rFonts w:ascii="Times New Roman" w:eastAsia="Cambria" w:hAnsi="Times New Roman"/>
          <w:bCs/>
          <w:iCs/>
          <w:lang w:val="en-US" w:eastAsia="en-US"/>
        </w:rPr>
        <w:t>’s target funding amount</w:t>
      </w:r>
      <w:r w:rsidR="00F80BB5" w:rsidRPr="00D16B79">
        <w:rPr>
          <w:rFonts w:ascii="Times New Roman" w:eastAsia="Cambria" w:hAnsi="Times New Roman"/>
          <w:bCs/>
          <w:iCs/>
          <w:lang w:val="en-US" w:eastAsia="en-US"/>
        </w:rPr>
        <w:t xml:space="preserve"> </w:t>
      </w:r>
      <w:r w:rsidR="00F80BB5" w:rsidRPr="00D16B79">
        <w:rPr>
          <w:rFonts w:ascii="Times New Roman" w:eastAsia="Cambria" w:hAnsi="Times New Roman"/>
          <w:lang w:val="en-US" w:eastAsia="en-US"/>
        </w:rPr>
        <w:t>using the following metric</w:t>
      </w:r>
      <w:r w:rsidR="00587593" w:rsidRPr="00D16B79">
        <w:rPr>
          <w:rFonts w:ascii="Times New Roman" w:eastAsia="Cambria" w:hAnsi="Times New Roman"/>
          <w:bCs/>
          <w:lang w:val="en-US" w:eastAsia="en-US"/>
        </w:rPr>
        <w:t xml:space="preserve">: </w:t>
      </w:r>
    </w:p>
    <w:p w14:paraId="01D5C22F" w14:textId="60B073FE" w:rsidR="000D2E00" w:rsidRPr="00D16B79" w:rsidRDefault="00FF0D9B" w:rsidP="00FF0D9B">
      <w:pPr>
        <w:pStyle w:val="ListParagraph"/>
        <w:numPr>
          <w:ilvl w:val="0"/>
          <w:numId w:val="5"/>
        </w:numPr>
        <w:spacing w:line="480" w:lineRule="auto"/>
        <w:ind w:left="0" w:firstLine="0"/>
        <w:rPr>
          <w:rFonts w:ascii="Times New Roman" w:eastAsia="Cambria" w:hAnsi="Times New Roman"/>
          <w:bCs/>
          <w:lang w:val="en-US" w:eastAsia="en-US"/>
        </w:rPr>
      </w:pPr>
      <w:r w:rsidRPr="00D16B79">
        <w:rPr>
          <w:rFonts w:ascii="Times New Roman" w:eastAsia="Cambria" w:hAnsi="Times New Roman"/>
          <w:bCs/>
          <w:lang w:val="en-US" w:eastAsia="en-US"/>
        </w:rPr>
        <w:t xml:space="preserve">        </w:t>
      </w:r>
      <w:r w:rsidRPr="00D16B79">
        <w:rPr>
          <w:rFonts w:ascii="Times New Roman" w:eastAsia="Cambria" w:hAnsi="Times New Roman"/>
          <w:bCs/>
          <w:lang w:val="en-US" w:eastAsia="en-US"/>
        </w:rPr>
        <w:tab/>
        <w:t xml:space="preserve">                         </w:t>
      </w:r>
      <m:oMath>
        <m:sSub>
          <m:sSubPr>
            <m:ctrlPr>
              <w:rPr>
                <w:rFonts w:ascii="Cambria Math" w:eastAsia="Times New Roman" w:hAnsi="Cambria Math"/>
                <w:bCs/>
                <w:i/>
                <w:lang w:val="en-US" w:eastAsia="en-US"/>
              </w:rPr>
            </m:ctrlPr>
          </m:sSubPr>
          <m:e>
            <m:r>
              <w:rPr>
                <w:rFonts w:ascii="Cambria Math" w:eastAsia="Times New Roman" w:hAnsi="Cambria Math"/>
                <w:lang w:val="en-US" w:eastAsia="en-US"/>
              </w:rPr>
              <m:t>Donation</m:t>
            </m:r>
          </m:e>
          <m:sub>
            <m:r>
              <w:rPr>
                <w:rFonts w:ascii="Cambria Math" w:eastAsia="Times New Roman" w:hAnsi="Cambria Math"/>
                <w:lang w:val="en-US" w:eastAsia="en-US"/>
              </w:rPr>
              <m:t>j,t</m:t>
            </m:r>
          </m:sub>
        </m:sSub>
        <m:r>
          <w:rPr>
            <w:rFonts w:ascii="Cambria Math" w:eastAsia="Times New Roman" w:hAnsi="Cambria Math"/>
            <w:lang w:val="en-US" w:eastAsia="en-US"/>
          </w:rPr>
          <m:t xml:space="preserve">= </m:t>
        </m:r>
        <m:f>
          <m:fPr>
            <m:ctrlPr>
              <w:rPr>
                <w:rFonts w:ascii="Cambria Math" w:eastAsia="Times New Roman" w:hAnsi="Cambria Math"/>
                <w:i/>
                <w:lang w:val="en-US" w:eastAsia="en-US"/>
              </w:rPr>
            </m:ctrlPr>
          </m:fPr>
          <m:num>
            <m:sSub>
              <m:sSubPr>
                <m:ctrlPr>
                  <w:rPr>
                    <w:rFonts w:ascii="Cambria Math" w:eastAsia="Times New Roman" w:hAnsi="Cambria Math"/>
                    <w:bCs/>
                    <w:i/>
                    <w:lang w:val="en-US" w:eastAsia="en-US"/>
                  </w:rPr>
                </m:ctrlPr>
              </m:sSubPr>
              <m:e>
                <m:r>
                  <m:rPr>
                    <m:sty m:val="p"/>
                  </m:rPr>
                  <w:rPr>
                    <w:rFonts w:ascii="Cambria Math" w:eastAsia="Times New Roman" w:hAnsi="Cambria Math"/>
                    <w:lang w:val="en-US" w:eastAsia="en-US"/>
                  </w:rPr>
                  <m:t>Funding</m:t>
                </m:r>
              </m:e>
              <m:sub>
                <m:r>
                  <w:rPr>
                    <w:rFonts w:ascii="Cambria Math" w:eastAsia="Times New Roman" w:hAnsi="Cambria Math"/>
                    <w:lang w:val="en-US" w:eastAsia="en-US"/>
                  </w:rPr>
                  <m:t>j,t</m:t>
                </m:r>
              </m:sub>
            </m:sSub>
            <m:r>
              <w:rPr>
                <w:rFonts w:ascii="Cambria Math" w:eastAsia="Times New Roman" w:hAnsi="Cambria Math"/>
                <w:lang w:val="en-US" w:eastAsia="en-US"/>
              </w:rPr>
              <m:t xml:space="preserve">- </m:t>
            </m:r>
            <m:sSub>
              <m:sSubPr>
                <m:ctrlPr>
                  <w:rPr>
                    <w:rFonts w:ascii="Cambria Math" w:eastAsia="Times New Roman" w:hAnsi="Cambria Math"/>
                    <w:bCs/>
                    <w:i/>
                    <w:lang w:val="en-US" w:eastAsia="en-US"/>
                  </w:rPr>
                </m:ctrlPr>
              </m:sSubPr>
              <m:e>
                <m:r>
                  <m:rPr>
                    <m:sty m:val="p"/>
                  </m:rPr>
                  <w:rPr>
                    <w:rFonts w:ascii="Cambria Math" w:eastAsia="Times New Roman" w:hAnsi="Cambria Math"/>
                    <w:lang w:val="en-US" w:eastAsia="en-US"/>
                  </w:rPr>
                  <m:t>Funding</m:t>
                </m:r>
              </m:e>
              <m:sub>
                <m:r>
                  <w:rPr>
                    <w:rFonts w:ascii="Cambria Math" w:eastAsia="Times New Roman" w:hAnsi="Cambria Math"/>
                    <w:lang w:val="en-US" w:eastAsia="en-US"/>
                  </w:rPr>
                  <m:t>j,t-1</m:t>
                </m:r>
              </m:sub>
            </m:sSub>
          </m:num>
          <m:den>
            <m:sSub>
              <m:sSubPr>
                <m:ctrlPr>
                  <w:rPr>
                    <w:rFonts w:ascii="Cambria Math" w:eastAsia="Times New Roman" w:hAnsi="Cambria Math"/>
                    <w:i/>
                    <w:lang w:val="en-US" w:eastAsia="en-US"/>
                  </w:rPr>
                </m:ctrlPr>
              </m:sSubPr>
              <m:e>
                <m:r>
                  <m:rPr>
                    <m:sty m:val="p"/>
                  </m:rPr>
                  <w:rPr>
                    <w:rFonts w:ascii="Cambria Math" w:eastAsia="Times New Roman" w:hAnsi="Cambria Math"/>
                    <w:lang w:val="en-US" w:eastAsia="en-US"/>
                  </w:rPr>
                  <m:t>Target</m:t>
                </m:r>
              </m:e>
              <m:sub>
                <m:r>
                  <w:rPr>
                    <w:rFonts w:ascii="Cambria Math" w:eastAsia="Times New Roman" w:hAnsi="Cambria Math"/>
                    <w:lang w:val="en-US" w:eastAsia="en-US"/>
                  </w:rPr>
                  <m:t>j</m:t>
                </m:r>
              </m:sub>
            </m:sSub>
          </m:den>
        </m:f>
      </m:oMath>
    </w:p>
    <w:p w14:paraId="1238BCE5" w14:textId="122A352A" w:rsidR="00CF4700" w:rsidRPr="00D16B79" w:rsidRDefault="00CF4700" w:rsidP="0085209B">
      <w:pPr>
        <w:spacing w:line="480" w:lineRule="auto"/>
        <w:rPr>
          <w:rFonts w:eastAsia="Cambria"/>
          <w:bCs/>
          <w:lang w:val="en-US" w:eastAsia="en-US"/>
        </w:rPr>
      </w:pPr>
      <w:r w:rsidRPr="00D16B79">
        <w:rPr>
          <w:rFonts w:eastAsia="Cambria"/>
          <w:bCs/>
          <w:lang w:val="en-US" w:eastAsia="en-US"/>
        </w:rPr>
        <w:t xml:space="preserve">Our key predictor </w:t>
      </w:r>
      <w:r w:rsidR="00F35080" w:rsidRPr="00D16B79">
        <w:rPr>
          <w:rFonts w:eastAsia="Cambria"/>
          <w:bCs/>
          <w:lang w:val="en-US" w:eastAsia="en-US"/>
        </w:rPr>
        <w:t>was</w:t>
      </w:r>
      <w:r w:rsidR="000223B6" w:rsidRPr="00D16B79">
        <w:rPr>
          <w:rFonts w:eastAsia="Cambria"/>
          <w:bCs/>
          <w:lang w:val="en-US" w:eastAsia="en-US"/>
        </w:rPr>
        <w:t xml:space="preserve"> current fundraising goal</w:t>
      </w:r>
      <w:r w:rsidR="00882648" w:rsidRPr="00D16B79">
        <w:rPr>
          <w:rFonts w:eastAsia="Cambria"/>
          <w:bCs/>
          <w:lang w:val="en-US" w:eastAsia="en-US"/>
        </w:rPr>
        <w:t>-</w:t>
      </w:r>
      <w:r w:rsidR="000223B6" w:rsidRPr="00D16B79">
        <w:rPr>
          <w:rFonts w:eastAsia="Cambria"/>
          <w:bCs/>
          <w:lang w:val="en-US" w:eastAsia="en-US"/>
        </w:rPr>
        <w:t>progress level</w:t>
      </w:r>
      <w:r w:rsidR="00654F28" w:rsidRPr="00D16B79">
        <w:rPr>
          <w:rFonts w:eastAsia="Cambria"/>
          <w:bCs/>
          <w:lang w:val="en-US" w:eastAsia="en-US"/>
        </w:rPr>
        <w:t>,</w:t>
      </w:r>
      <w:r w:rsidRPr="00D16B79">
        <w:rPr>
          <w:rFonts w:eastAsia="Cambria"/>
          <w:bCs/>
          <w:lang w:val="en-US" w:eastAsia="en-US"/>
        </w:rPr>
        <w:t xml:space="preserve"> </w:t>
      </w:r>
      <w:r w:rsidRPr="00D16B79">
        <w:rPr>
          <w:rFonts w:eastAsia="Cambria"/>
          <w:bCs/>
          <w:i/>
          <w:iCs/>
          <w:lang w:val="en-US" w:eastAsia="en-US"/>
        </w:rPr>
        <w:t>Progress</w:t>
      </w:r>
      <w:r w:rsidR="000F5849" w:rsidRPr="00D16B79">
        <w:rPr>
          <w:rFonts w:ascii="Times New Roman" w:eastAsia="Calibri" w:hAnsi="Times New Roman"/>
          <w:i/>
          <w:iCs/>
          <w:vertAlign w:val="subscript"/>
          <w:lang w:val="en-US" w:eastAsia="en-US"/>
        </w:rPr>
        <w:t>j,t-1</w:t>
      </w:r>
      <w:r w:rsidRPr="00D16B79">
        <w:rPr>
          <w:rFonts w:eastAsia="Cambria"/>
          <w:bCs/>
          <w:lang w:val="en-US" w:eastAsia="en-US"/>
        </w:rPr>
        <w:t xml:space="preserve"> of project </w:t>
      </w:r>
      <w:r w:rsidRPr="00D16B79">
        <w:rPr>
          <w:rFonts w:eastAsia="Cambria"/>
          <w:bCs/>
          <w:i/>
          <w:iCs/>
          <w:lang w:val="en-US" w:eastAsia="en-US"/>
        </w:rPr>
        <w:t>j</w:t>
      </w:r>
      <w:r w:rsidRPr="00D16B79">
        <w:rPr>
          <w:rFonts w:eastAsia="Cambria"/>
          <w:bCs/>
          <w:lang w:val="en-US" w:eastAsia="en-US"/>
        </w:rPr>
        <w:t xml:space="preserve"> at time </w:t>
      </w:r>
      <w:r w:rsidRPr="00D16B79">
        <w:rPr>
          <w:rFonts w:eastAsia="Cambria"/>
          <w:bCs/>
          <w:i/>
          <w:iCs/>
          <w:lang w:val="en-US" w:eastAsia="en-US"/>
        </w:rPr>
        <w:t>t-1</w:t>
      </w:r>
      <w:r w:rsidR="00F80BB5" w:rsidRPr="00D16B79">
        <w:rPr>
          <w:rFonts w:eastAsia="Cambria"/>
          <w:bCs/>
          <w:iCs/>
          <w:lang w:val="en-US" w:eastAsia="en-US"/>
        </w:rPr>
        <w:t xml:space="preserve"> (i.e., funding as a percentage of target),</w:t>
      </w:r>
      <w:r w:rsidRPr="00D16B79">
        <w:rPr>
          <w:rFonts w:eastAsia="Cambria"/>
          <w:bCs/>
          <w:lang w:val="en-US" w:eastAsia="en-US"/>
        </w:rPr>
        <w:t xml:space="preserve"> calculated as:</w:t>
      </w:r>
      <w:r w:rsidR="009D0A6E" w:rsidRPr="00D16B79">
        <w:rPr>
          <w:rFonts w:eastAsia="Cambria"/>
          <w:bCs/>
          <w:lang w:val="en-US" w:eastAsia="en-US"/>
        </w:rPr>
        <w:t xml:space="preserve"> </w:t>
      </w:r>
    </w:p>
    <w:p w14:paraId="6F1B7466" w14:textId="1C2ACACB" w:rsidR="00CF4700" w:rsidRPr="00D16B79" w:rsidRDefault="00FF0D9B" w:rsidP="00FF0D9B">
      <w:pPr>
        <w:pStyle w:val="ListParagraph"/>
        <w:numPr>
          <w:ilvl w:val="0"/>
          <w:numId w:val="5"/>
        </w:numPr>
        <w:spacing w:line="480" w:lineRule="auto"/>
        <w:ind w:left="284" w:hanging="284"/>
        <w:rPr>
          <w:rFonts w:ascii="Times New Roman" w:eastAsia="Cambria" w:hAnsi="Times New Roman"/>
          <w:bCs/>
          <w:lang w:val="en-US" w:eastAsia="en-US"/>
        </w:rPr>
      </w:pPr>
      <w:r w:rsidRPr="00D16B79">
        <w:rPr>
          <w:rFonts w:eastAsia="Cambria"/>
          <w:bCs/>
          <w:lang w:val="en-US" w:eastAsia="en-US"/>
        </w:rPr>
        <w:t xml:space="preserve">  </w:t>
      </w:r>
      <w:r w:rsidRPr="00D16B79">
        <w:rPr>
          <w:rFonts w:eastAsia="Cambria"/>
          <w:bCs/>
          <w:lang w:val="en-US" w:eastAsia="en-US"/>
        </w:rPr>
        <w:tab/>
      </w:r>
      <w:r w:rsidRPr="00D16B79">
        <w:rPr>
          <w:rFonts w:eastAsia="Cambria"/>
          <w:bCs/>
          <w:lang w:val="en-US" w:eastAsia="en-US"/>
        </w:rPr>
        <w:tab/>
      </w:r>
      <w:r w:rsidRPr="00D16B79">
        <w:rPr>
          <w:rFonts w:eastAsia="Cambria"/>
          <w:bCs/>
          <w:lang w:val="en-US" w:eastAsia="en-US"/>
        </w:rPr>
        <w:tab/>
      </w:r>
      <w:r w:rsidRPr="00D16B79">
        <w:rPr>
          <w:rFonts w:eastAsia="Cambria"/>
          <w:bCs/>
          <w:lang w:val="en-US" w:eastAsia="en-US"/>
        </w:rPr>
        <w:tab/>
      </w:r>
      <m:oMath>
        <m:sSub>
          <m:sSubPr>
            <m:ctrlPr>
              <w:rPr>
                <w:rFonts w:ascii="Cambria Math" w:eastAsia="Times New Roman" w:hAnsi="Cambria Math"/>
                <w:bCs/>
                <w:i/>
                <w:lang w:val="en-US" w:eastAsia="en-US"/>
              </w:rPr>
            </m:ctrlPr>
          </m:sSubPr>
          <m:e>
            <m:r>
              <w:rPr>
                <w:rFonts w:ascii="Cambria Math" w:eastAsia="Times New Roman" w:hAnsi="Cambria Math"/>
                <w:lang w:val="en-US" w:eastAsia="en-US"/>
              </w:rPr>
              <m:t>Progress</m:t>
            </m:r>
          </m:e>
          <m:sub>
            <m:r>
              <w:rPr>
                <w:rFonts w:ascii="Cambria Math" w:eastAsia="Times New Roman" w:hAnsi="Cambria Math"/>
                <w:lang w:val="en-US" w:eastAsia="en-US"/>
              </w:rPr>
              <m:t>j,t-1</m:t>
            </m:r>
          </m:sub>
        </m:sSub>
        <m:r>
          <w:rPr>
            <w:rFonts w:ascii="Cambria Math" w:eastAsia="Times New Roman" w:hAnsi="Cambria Math"/>
            <w:lang w:val="en-US" w:eastAsia="en-US"/>
          </w:rPr>
          <m:t xml:space="preserve">= </m:t>
        </m:r>
        <m:f>
          <m:fPr>
            <m:ctrlPr>
              <w:rPr>
                <w:rFonts w:ascii="Cambria Math" w:eastAsia="Times New Roman" w:hAnsi="Cambria Math"/>
                <w:i/>
                <w:lang w:val="en-US" w:eastAsia="en-US"/>
              </w:rPr>
            </m:ctrlPr>
          </m:fPr>
          <m:num>
            <m:r>
              <w:rPr>
                <w:rFonts w:ascii="Cambria Math" w:eastAsia="Times New Roman" w:hAnsi="Cambria Math"/>
                <w:lang w:val="en-US" w:eastAsia="en-US"/>
              </w:rPr>
              <m:t xml:space="preserve"> </m:t>
            </m:r>
            <m:sSub>
              <m:sSubPr>
                <m:ctrlPr>
                  <w:rPr>
                    <w:rFonts w:ascii="Cambria Math" w:eastAsia="Times New Roman" w:hAnsi="Cambria Math"/>
                    <w:bCs/>
                    <w:i/>
                    <w:lang w:val="en-US" w:eastAsia="en-US"/>
                  </w:rPr>
                </m:ctrlPr>
              </m:sSubPr>
              <m:e>
                <m:r>
                  <m:rPr>
                    <m:sty m:val="p"/>
                  </m:rPr>
                  <w:rPr>
                    <w:rFonts w:ascii="Cambria Math" w:eastAsia="Times New Roman" w:hAnsi="Cambria Math"/>
                    <w:lang w:val="en-US" w:eastAsia="en-US"/>
                  </w:rPr>
                  <m:t>Funding</m:t>
                </m:r>
              </m:e>
              <m:sub>
                <m:r>
                  <w:rPr>
                    <w:rFonts w:ascii="Cambria Math" w:eastAsia="Times New Roman" w:hAnsi="Cambria Math"/>
                    <w:lang w:val="en-US" w:eastAsia="en-US"/>
                  </w:rPr>
                  <m:t>j,t-1</m:t>
                </m:r>
              </m:sub>
            </m:sSub>
          </m:num>
          <m:den>
            <m:sSub>
              <m:sSubPr>
                <m:ctrlPr>
                  <w:rPr>
                    <w:rFonts w:ascii="Cambria Math" w:eastAsia="Times New Roman" w:hAnsi="Cambria Math"/>
                    <w:i/>
                    <w:lang w:val="en-US" w:eastAsia="en-US"/>
                  </w:rPr>
                </m:ctrlPr>
              </m:sSubPr>
              <m:e>
                <m:r>
                  <m:rPr>
                    <m:sty m:val="p"/>
                  </m:rPr>
                  <w:rPr>
                    <w:rFonts w:ascii="Cambria Math" w:eastAsia="Times New Roman" w:hAnsi="Cambria Math"/>
                    <w:lang w:val="en-US" w:eastAsia="en-US"/>
                  </w:rPr>
                  <m:t>Target</m:t>
                </m:r>
              </m:e>
              <m:sub>
                <m:r>
                  <w:rPr>
                    <w:rFonts w:ascii="Cambria Math" w:eastAsia="Times New Roman" w:hAnsi="Cambria Math"/>
                    <w:lang w:val="en-US" w:eastAsia="en-US"/>
                  </w:rPr>
                  <m:t>j</m:t>
                </m:r>
              </m:sub>
            </m:sSub>
          </m:den>
        </m:f>
      </m:oMath>
    </w:p>
    <w:p w14:paraId="547A5C86" w14:textId="6166A538" w:rsidR="004253B1" w:rsidRPr="00D16B79" w:rsidRDefault="00BE2018" w:rsidP="00523A2C">
      <w:pPr>
        <w:spacing w:line="480" w:lineRule="auto"/>
        <w:ind w:firstLine="720"/>
        <w:rPr>
          <w:rFonts w:ascii="Times New Roman" w:eastAsia="Cambria" w:hAnsi="Times New Roman"/>
          <w:lang w:val="en-US" w:eastAsia="en-US"/>
        </w:rPr>
      </w:pPr>
      <w:r w:rsidRPr="00D16B79">
        <w:rPr>
          <w:rFonts w:eastAsia="Cambria"/>
          <w:bCs/>
          <w:lang w:val="en-US" w:eastAsia="en-US"/>
        </w:rPr>
        <w:t xml:space="preserve">Following </w:t>
      </w:r>
      <w:r w:rsidR="00FA5441" w:rsidRPr="00D16B79">
        <w:rPr>
          <w:rFonts w:eastAsia="Cambria"/>
          <w:bCs/>
          <w:lang w:val="en-US" w:eastAsia="en-US"/>
        </w:rPr>
        <w:t>Cryder, Loewenstein, and Seltman</w:t>
      </w:r>
      <w:r w:rsidRPr="00D16B79">
        <w:rPr>
          <w:rFonts w:eastAsia="Cambria"/>
          <w:bCs/>
          <w:lang w:val="en-US" w:eastAsia="en-US"/>
        </w:rPr>
        <w:t xml:space="preserve"> (2013)</w:t>
      </w:r>
      <w:r w:rsidR="0009775B" w:rsidRPr="00D16B79">
        <w:rPr>
          <w:rFonts w:eastAsia="Cambria"/>
          <w:bCs/>
          <w:lang w:val="en-US" w:eastAsia="en-US"/>
        </w:rPr>
        <w:t xml:space="preserve"> Study 1</w:t>
      </w:r>
      <w:r w:rsidRPr="00D16B79">
        <w:rPr>
          <w:rFonts w:eastAsia="Cambria"/>
          <w:bCs/>
          <w:lang w:val="en-US" w:eastAsia="en-US"/>
        </w:rPr>
        <w:t xml:space="preserve">, </w:t>
      </w:r>
      <w:r w:rsidR="008E793C">
        <w:rPr>
          <w:rFonts w:eastAsia="Cambria"/>
          <w:bCs/>
          <w:lang w:val="en-US" w:eastAsia="en-US"/>
        </w:rPr>
        <w:t>where they also</w:t>
      </w:r>
      <w:r w:rsidR="0009775B" w:rsidRPr="00D16B79">
        <w:rPr>
          <w:rFonts w:eastAsia="Cambria"/>
          <w:bCs/>
          <w:lang w:val="en-US" w:eastAsia="en-US"/>
        </w:rPr>
        <w:t xml:space="preserve"> studied the effect of goal progress on donations in Kiva data, </w:t>
      </w:r>
      <w:r w:rsidRPr="00D16B79">
        <w:rPr>
          <w:rFonts w:eastAsia="Cambria"/>
          <w:bCs/>
          <w:lang w:val="en-US" w:eastAsia="en-US"/>
        </w:rPr>
        <w:t>w</w:t>
      </w:r>
      <w:r w:rsidR="00116A44" w:rsidRPr="00D16B79">
        <w:rPr>
          <w:rFonts w:eastAsia="Cambria"/>
          <w:bCs/>
          <w:lang w:val="en-US" w:eastAsia="en-US"/>
        </w:rPr>
        <w:t>e</w:t>
      </w:r>
      <w:r w:rsidR="0009775B" w:rsidRPr="00D16B79">
        <w:rPr>
          <w:rFonts w:eastAsia="Cambria"/>
          <w:bCs/>
          <w:lang w:val="en-US" w:eastAsia="en-US"/>
        </w:rPr>
        <w:t xml:space="preserve"> first </w:t>
      </w:r>
      <w:r w:rsidR="008619CD" w:rsidRPr="00D16B79">
        <w:rPr>
          <w:rFonts w:eastAsia="Cambria"/>
          <w:bCs/>
          <w:lang w:val="en-US" w:eastAsia="en-US"/>
        </w:rPr>
        <w:t>split</w:t>
      </w:r>
      <w:r w:rsidR="000223B6" w:rsidRPr="00D16B79">
        <w:rPr>
          <w:rFonts w:eastAsia="Cambria"/>
          <w:bCs/>
          <w:lang w:val="en-US" w:eastAsia="en-US"/>
        </w:rPr>
        <w:t xml:space="preserve"> </w:t>
      </w:r>
      <w:r w:rsidRPr="00D16B79">
        <w:rPr>
          <w:rFonts w:eastAsia="Cambria"/>
          <w:bCs/>
          <w:lang w:val="en-US" w:eastAsia="en-US"/>
        </w:rPr>
        <w:t xml:space="preserve">the sample into </w:t>
      </w:r>
      <w:r w:rsidR="00116A44" w:rsidRPr="00D16B79">
        <w:rPr>
          <w:rFonts w:eastAsia="Cambria"/>
          <w:bCs/>
          <w:lang w:val="en-US" w:eastAsia="en-US"/>
        </w:rPr>
        <w:t xml:space="preserve">three </w:t>
      </w:r>
      <w:r w:rsidRPr="00D16B79">
        <w:rPr>
          <w:rFonts w:eastAsia="Cambria"/>
          <w:bCs/>
          <w:lang w:val="en-US" w:eastAsia="en-US"/>
        </w:rPr>
        <w:t xml:space="preserve">groups </w:t>
      </w:r>
      <w:r w:rsidR="00116A44" w:rsidRPr="00D16B79">
        <w:rPr>
          <w:rFonts w:eastAsia="Cambria"/>
          <w:bCs/>
          <w:lang w:val="en-US" w:eastAsia="en-US"/>
        </w:rPr>
        <w:t>based on the projects</w:t>
      </w:r>
      <w:r w:rsidR="00003814" w:rsidRPr="00D16B79">
        <w:rPr>
          <w:rFonts w:eastAsia="Cambria"/>
          <w:bCs/>
          <w:lang w:val="en-US" w:eastAsia="en-US"/>
        </w:rPr>
        <w:t>’</w:t>
      </w:r>
      <w:r w:rsidR="00116A44" w:rsidRPr="00D16B79">
        <w:rPr>
          <w:rFonts w:eastAsia="Cambria"/>
          <w:bCs/>
          <w:lang w:val="en-US" w:eastAsia="en-US"/>
        </w:rPr>
        <w:t xml:space="preserve"> level of progress</w:t>
      </w:r>
      <w:r w:rsidR="00A568CB" w:rsidRPr="00D16B79">
        <w:rPr>
          <w:rFonts w:eastAsia="Cambria"/>
          <w:bCs/>
          <w:lang w:val="en-US" w:eastAsia="en-US"/>
        </w:rPr>
        <w:t xml:space="preserve"> at time </w:t>
      </w:r>
      <w:r w:rsidR="00A568CB" w:rsidRPr="00D16B79">
        <w:rPr>
          <w:rFonts w:eastAsia="Cambria"/>
          <w:bCs/>
          <w:i/>
          <w:lang w:val="en-US" w:eastAsia="en-US"/>
        </w:rPr>
        <w:t>t – 1</w:t>
      </w:r>
      <w:r w:rsidR="00A142DF" w:rsidRPr="00D16B79">
        <w:rPr>
          <w:rFonts w:eastAsia="Cambria"/>
          <w:bCs/>
          <w:lang w:val="en-US" w:eastAsia="en-US"/>
        </w:rPr>
        <w:t xml:space="preserve">, </w:t>
      </w:r>
      <w:r w:rsidR="00A142DF" w:rsidRPr="00D16B79">
        <w:rPr>
          <w:rFonts w:ascii="Times New Roman" w:eastAsia="Cambria" w:hAnsi="Times New Roman"/>
          <w:bCs/>
          <w:i/>
          <w:iCs/>
          <w:lang w:val="en-US" w:eastAsia="en-US"/>
        </w:rPr>
        <w:t>Progress</w:t>
      </w:r>
      <w:r w:rsidR="00145585" w:rsidRPr="00D16B79">
        <w:rPr>
          <w:rFonts w:ascii="Times New Roman" w:eastAsia="Calibri" w:hAnsi="Times New Roman"/>
          <w:i/>
          <w:iCs/>
          <w:vertAlign w:val="subscript"/>
          <w:lang w:val="en-US" w:eastAsia="en-US"/>
        </w:rPr>
        <w:t>j,t</w:t>
      </w:r>
      <w:r w:rsidR="003F3BEE" w:rsidRPr="00D16B79">
        <w:rPr>
          <w:rFonts w:ascii="Times New Roman" w:eastAsia="Calibri" w:hAnsi="Times New Roman"/>
          <w:i/>
          <w:iCs/>
          <w:vertAlign w:val="subscript"/>
          <w:lang w:val="en-US" w:eastAsia="en-US"/>
        </w:rPr>
        <w:t>-1</w:t>
      </w:r>
      <w:r w:rsidR="00DA4D3B" w:rsidRPr="00D16B79">
        <w:rPr>
          <w:rFonts w:ascii="Times New Roman" w:eastAsia="Cambria" w:hAnsi="Times New Roman"/>
          <w:bCs/>
          <w:lang w:val="en-US" w:eastAsia="en-US"/>
        </w:rPr>
        <w:t xml:space="preserve">, 1) </w:t>
      </w:r>
      <w:r w:rsidR="00116A44" w:rsidRPr="00D16B79">
        <w:rPr>
          <w:rFonts w:ascii="Times New Roman" w:eastAsia="Cambria" w:hAnsi="Times New Roman"/>
          <w:bCs/>
          <w:lang w:val="en-US" w:eastAsia="en-US"/>
        </w:rPr>
        <w:t>Low Progress (&lt; 33%), 2) Medium Progress (33%</w:t>
      </w:r>
      <w:r w:rsidR="00654F28" w:rsidRPr="00D16B79">
        <w:rPr>
          <w:rFonts w:ascii="Times New Roman" w:eastAsia="Cambria" w:hAnsi="Times New Roman"/>
          <w:bCs/>
          <w:lang w:val="en-US" w:eastAsia="en-US"/>
        </w:rPr>
        <w:t>–</w:t>
      </w:r>
      <w:r w:rsidR="00116A44" w:rsidRPr="00D16B79">
        <w:rPr>
          <w:rFonts w:ascii="Times New Roman" w:eastAsia="Cambria" w:hAnsi="Times New Roman"/>
          <w:bCs/>
          <w:lang w:val="en-US" w:eastAsia="en-US"/>
        </w:rPr>
        <w:t>66%), 3) High Progress (&gt; 66%)</w:t>
      </w:r>
      <w:r w:rsidR="00654F28" w:rsidRPr="00D16B79">
        <w:rPr>
          <w:rFonts w:ascii="Times New Roman" w:eastAsia="Cambria" w:hAnsi="Times New Roman"/>
          <w:bCs/>
          <w:lang w:val="en-US" w:eastAsia="en-US"/>
        </w:rPr>
        <w:t>—</w:t>
      </w:r>
      <w:r w:rsidR="00C66921" w:rsidRPr="00D16B79">
        <w:rPr>
          <w:rFonts w:ascii="Times New Roman" w:eastAsia="Cambria" w:hAnsi="Times New Roman"/>
          <w:bCs/>
          <w:lang w:val="en-US" w:eastAsia="en-US"/>
        </w:rPr>
        <w:t>and</w:t>
      </w:r>
      <w:r w:rsidRPr="00D16B79">
        <w:rPr>
          <w:rFonts w:ascii="Times New Roman" w:eastAsia="Cambria" w:hAnsi="Times New Roman"/>
          <w:bCs/>
          <w:lang w:val="en-US" w:eastAsia="en-US"/>
        </w:rPr>
        <w:t xml:space="preserve"> then </w:t>
      </w:r>
      <w:r w:rsidR="0009775B" w:rsidRPr="00D16B79">
        <w:rPr>
          <w:rFonts w:ascii="Times New Roman" w:eastAsia="Cambria" w:hAnsi="Times New Roman"/>
          <w:bCs/>
          <w:lang w:val="en-US" w:eastAsia="en-US"/>
        </w:rPr>
        <w:t>compar</w:t>
      </w:r>
      <w:r w:rsidR="00882648" w:rsidRPr="00D16B79">
        <w:rPr>
          <w:rFonts w:ascii="Times New Roman" w:eastAsia="Cambria" w:hAnsi="Times New Roman"/>
          <w:bCs/>
          <w:lang w:val="en-US" w:eastAsia="en-US"/>
        </w:rPr>
        <w:t>ed</w:t>
      </w:r>
      <w:r w:rsidR="0009775B" w:rsidRPr="00D16B79">
        <w:rPr>
          <w:rFonts w:ascii="Times New Roman" w:eastAsia="Cambria" w:hAnsi="Times New Roman"/>
          <w:bCs/>
          <w:lang w:val="en-US" w:eastAsia="en-US"/>
        </w:rPr>
        <w:t xml:space="preserve"> the</w:t>
      </w:r>
      <w:r w:rsidRPr="00D16B79">
        <w:rPr>
          <w:rFonts w:ascii="Times New Roman" w:eastAsia="Cambria" w:hAnsi="Times New Roman"/>
          <w:bCs/>
          <w:lang w:val="en-US" w:eastAsia="en-US"/>
        </w:rPr>
        <w:t xml:space="preserve"> dependent variable, </w:t>
      </w:r>
      <w:proofErr w:type="spellStart"/>
      <w:r w:rsidR="00D45A6A" w:rsidRPr="00D16B79">
        <w:rPr>
          <w:rFonts w:ascii="Times New Roman" w:eastAsia="Cambria" w:hAnsi="Times New Roman"/>
          <w:bCs/>
          <w:i/>
          <w:iCs/>
          <w:lang w:val="en-US" w:eastAsia="en-US"/>
        </w:rPr>
        <w:t>Donation</w:t>
      </w:r>
      <w:r w:rsidR="00145585" w:rsidRPr="00D16B79">
        <w:rPr>
          <w:rFonts w:ascii="Times New Roman" w:eastAsia="Calibri" w:hAnsi="Times New Roman"/>
          <w:i/>
          <w:iCs/>
          <w:vertAlign w:val="subscript"/>
          <w:lang w:val="en-US" w:eastAsia="en-US"/>
        </w:rPr>
        <w:t>j,t</w:t>
      </w:r>
      <w:proofErr w:type="spellEnd"/>
      <w:r w:rsidR="00654F28" w:rsidRPr="00D16B79">
        <w:rPr>
          <w:rFonts w:ascii="Times New Roman" w:eastAsia="Calibri" w:hAnsi="Times New Roman"/>
          <w:i/>
          <w:iCs/>
          <w:lang w:val="en-US" w:eastAsia="en-US"/>
        </w:rPr>
        <w:t>,</w:t>
      </w:r>
      <w:r w:rsidR="00443655" w:rsidRPr="00D16B79">
        <w:rPr>
          <w:rFonts w:ascii="Times New Roman" w:eastAsia="Cambria" w:hAnsi="Times New Roman"/>
          <w:bCs/>
          <w:i/>
          <w:iCs/>
          <w:lang w:val="en-US" w:eastAsia="en-US"/>
        </w:rPr>
        <w:t xml:space="preserve"> </w:t>
      </w:r>
      <w:r w:rsidR="0009775B" w:rsidRPr="00D16B79">
        <w:rPr>
          <w:rFonts w:ascii="Times New Roman" w:eastAsia="Cambria" w:hAnsi="Times New Roman"/>
          <w:bCs/>
          <w:lang w:val="en-US" w:eastAsia="en-US"/>
        </w:rPr>
        <w:t xml:space="preserve">across </w:t>
      </w:r>
      <w:r w:rsidR="0086310A" w:rsidRPr="00D16B79">
        <w:rPr>
          <w:rFonts w:ascii="Times New Roman" w:eastAsia="Cambria" w:hAnsi="Times New Roman"/>
          <w:bCs/>
          <w:lang w:val="en-US" w:eastAsia="en-US"/>
        </w:rPr>
        <w:t>each group</w:t>
      </w:r>
      <w:r w:rsidRPr="00D16B79">
        <w:rPr>
          <w:rFonts w:ascii="Times New Roman" w:eastAsia="Cambria" w:hAnsi="Times New Roman"/>
          <w:bCs/>
          <w:lang w:val="en-US" w:eastAsia="en-US"/>
        </w:rPr>
        <w:t>.</w:t>
      </w:r>
      <w:r w:rsidR="00AB0628" w:rsidRPr="00D16B79">
        <w:rPr>
          <w:rFonts w:ascii="Times New Roman" w:eastAsia="Cambria" w:hAnsi="Times New Roman"/>
          <w:bCs/>
          <w:lang w:val="en-US" w:eastAsia="en-US"/>
        </w:rPr>
        <w:t xml:space="preserve"> </w:t>
      </w:r>
      <w:r w:rsidR="008619CD" w:rsidRPr="00D16B79">
        <w:rPr>
          <w:rFonts w:ascii="Times New Roman" w:eastAsia="Cambria" w:hAnsi="Times New Roman"/>
          <w:bCs/>
          <w:lang w:val="en-US" w:eastAsia="en-US"/>
        </w:rPr>
        <w:t>Simply comparing the mean donation in each group</w:t>
      </w:r>
      <w:r w:rsidR="0009775B" w:rsidRPr="00D16B79">
        <w:rPr>
          <w:rFonts w:ascii="Times New Roman" w:eastAsia="Cambria" w:hAnsi="Times New Roman"/>
          <w:bCs/>
          <w:lang w:val="en-US" w:eastAsia="en-US"/>
        </w:rPr>
        <w:t xml:space="preserve"> </w:t>
      </w:r>
      <w:r w:rsidR="008619CD" w:rsidRPr="00D16B79">
        <w:rPr>
          <w:rFonts w:ascii="Times New Roman" w:eastAsia="Cambria" w:hAnsi="Times New Roman"/>
          <w:bCs/>
          <w:lang w:val="en-US" w:eastAsia="en-US"/>
        </w:rPr>
        <w:t xml:space="preserve">(as done in prior research) </w:t>
      </w:r>
      <w:r w:rsidR="00BF50C7" w:rsidRPr="00D16B79">
        <w:rPr>
          <w:rFonts w:eastAsia="Cambria"/>
          <w:bCs/>
          <w:lang w:val="en-US" w:eastAsia="en-US"/>
        </w:rPr>
        <w:t>may</w:t>
      </w:r>
      <w:r w:rsidR="00AB0628" w:rsidRPr="00D16B79">
        <w:rPr>
          <w:rFonts w:eastAsia="Cambria"/>
          <w:bCs/>
          <w:lang w:val="en-US" w:eastAsia="en-US"/>
        </w:rPr>
        <w:t xml:space="preserve"> be</w:t>
      </w:r>
      <w:r w:rsidR="009D0A6E" w:rsidRPr="00D16B79">
        <w:rPr>
          <w:rFonts w:eastAsia="Cambria"/>
          <w:bCs/>
          <w:lang w:val="en-US" w:eastAsia="en-US"/>
        </w:rPr>
        <w:t xml:space="preserve"> </w:t>
      </w:r>
      <w:r w:rsidR="00AB0628" w:rsidRPr="00D16B79">
        <w:rPr>
          <w:rFonts w:eastAsia="Cambria"/>
          <w:bCs/>
          <w:lang w:val="en-US" w:eastAsia="en-US"/>
        </w:rPr>
        <w:t>incomplete</w:t>
      </w:r>
      <w:r w:rsidR="00882648" w:rsidRPr="00D16B79">
        <w:rPr>
          <w:rFonts w:eastAsia="Cambria"/>
          <w:bCs/>
          <w:lang w:val="en-US" w:eastAsia="en-US"/>
        </w:rPr>
        <w:t>,</w:t>
      </w:r>
      <w:r w:rsidR="00FE68A0" w:rsidRPr="00D16B79">
        <w:rPr>
          <w:rFonts w:eastAsia="Cambria"/>
          <w:bCs/>
          <w:lang w:val="en-US" w:eastAsia="en-US"/>
        </w:rPr>
        <w:t xml:space="preserve"> </w:t>
      </w:r>
      <w:r w:rsidR="007D5CCA" w:rsidRPr="00D16B79">
        <w:rPr>
          <w:rFonts w:eastAsia="Cambria"/>
          <w:bCs/>
          <w:lang w:val="en-US" w:eastAsia="en-US"/>
        </w:rPr>
        <w:t xml:space="preserve">and </w:t>
      </w:r>
      <w:r w:rsidR="0009775B" w:rsidRPr="00D16B79">
        <w:rPr>
          <w:rFonts w:eastAsia="Cambria"/>
          <w:bCs/>
          <w:lang w:val="en-US" w:eastAsia="en-US"/>
        </w:rPr>
        <w:t xml:space="preserve">therefore we </w:t>
      </w:r>
      <w:r w:rsidR="00AB0628" w:rsidRPr="00D16B79">
        <w:rPr>
          <w:rFonts w:eastAsia="Cambria"/>
          <w:bCs/>
          <w:lang w:val="en-US" w:eastAsia="en-US"/>
        </w:rPr>
        <w:t>analyze</w:t>
      </w:r>
      <w:r w:rsidR="00F80BB5" w:rsidRPr="00D16B79">
        <w:rPr>
          <w:rFonts w:eastAsia="Cambria"/>
          <w:bCs/>
          <w:lang w:val="en-US" w:eastAsia="en-US"/>
        </w:rPr>
        <w:t>d</w:t>
      </w:r>
      <w:r w:rsidR="00AB0628" w:rsidRPr="00D16B79">
        <w:rPr>
          <w:rFonts w:eastAsia="Cambria"/>
          <w:bCs/>
          <w:lang w:val="en-US" w:eastAsia="en-US"/>
        </w:rPr>
        <w:t xml:space="preserve"> the effect of progress towards the goal on subsequent donations </w:t>
      </w:r>
      <w:r w:rsidR="0009775B" w:rsidRPr="00D16B79">
        <w:rPr>
          <w:rFonts w:eastAsia="Cambria"/>
          <w:bCs/>
          <w:lang w:val="en-US" w:eastAsia="en-US"/>
        </w:rPr>
        <w:t>using a regression framework, which yields the following advantages</w:t>
      </w:r>
      <w:r w:rsidR="00AB0628" w:rsidRPr="00D16B79">
        <w:rPr>
          <w:rFonts w:eastAsia="Cambria"/>
          <w:bCs/>
          <w:lang w:val="en-US" w:eastAsia="en-US"/>
        </w:rPr>
        <w:t>: (</w:t>
      </w:r>
      <w:r w:rsidR="006967FF" w:rsidRPr="00D16B79">
        <w:rPr>
          <w:rFonts w:eastAsia="Cambria"/>
          <w:bCs/>
          <w:lang w:val="en-US" w:eastAsia="en-US"/>
        </w:rPr>
        <w:t>1</w:t>
      </w:r>
      <w:r w:rsidR="00AB0628" w:rsidRPr="00D16B79">
        <w:rPr>
          <w:rFonts w:eastAsia="Cambria"/>
          <w:bCs/>
          <w:lang w:val="en-US" w:eastAsia="en-US"/>
        </w:rPr>
        <w:t xml:space="preserve">) the key predictor, </w:t>
      </w:r>
      <w:r w:rsidR="00AB0628" w:rsidRPr="00D16B79">
        <w:rPr>
          <w:rFonts w:eastAsia="Cambria"/>
          <w:bCs/>
          <w:i/>
          <w:iCs/>
          <w:lang w:val="en-US" w:eastAsia="en-US"/>
        </w:rPr>
        <w:t>Progress</w:t>
      </w:r>
      <w:r w:rsidR="00AB0628" w:rsidRPr="00D16B79">
        <w:rPr>
          <w:rFonts w:eastAsia="Cambria"/>
          <w:bCs/>
          <w:i/>
          <w:iCs/>
          <w:vertAlign w:val="subscript"/>
          <w:lang w:val="en-US" w:eastAsia="en-US"/>
        </w:rPr>
        <w:t>j,t-1</w:t>
      </w:r>
      <w:r w:rsidR="00AB0628" w:rsidRPr="00D16B79">
        <w:rPr>
          <w:rFonts w:eastAsia="Cambria"/>
          <w:bCs/>
          <w:i/>
          <w:iCs/>
          <w:lang w:val="en-US" w:eastAsia="en-US"/>
        </w:rPr>
        <w:t>,</w:t>
      </w:r>
      <w:r w:rsidR="00AB0628" w:rsidRPr="00D16B79">
        <w:rPr>
          <w:rFonts w:eastAsia="Cambria"/>
          <w:bCs/>
          <w:lang w:val="en-US" w:eastAsia="en-US"/>
        </w:rPr>
        <w:t xml:space="preserve"> is </w:t>
      </w:r>
      <w:r w:rsidR="008C1D28" w:rsidRPr="00D16B79">
        <w:rPr>
          <w:rFonts w:eastAsia="Cambria"/>
          <w:bCs/>
          <w:lang w:val="en-US" w:eastAsia="en-US"/>
        </w:rPr>
        <w:t xml:space="preserve">treated as continuous rather than </w:t>
      </w:r>
      <w:r w:rsidR="00AB0628" w:rsidRPr="00D16B79">
        <w:rPr>
          <w:rFonts w:eastAsia="Cambria"/>
          <w:bCs/>
          <w:lang w:val="en-US" w:eastAsia="en-US"/>
        </w:rPr>
        <w:t xml:space="preserve">categorical, </w:t>
      </w:r>
      <w:r w:rsidR="008C1D28" w:rsidRPr="00D16B79">
        <w:rPr>
          <w:rFonts w:eastAsia="Cambria"/>
          <w:bCs/>
          <w:lang w:val="en-US" w:eastAsia="en-US"/>
        </w:rPr>
        <w:t xml:space="preserve">so that </w:t>
      </w:r>
      <w:r w:rsidR="00AB0628" w:rsidRPr="00D16B79">
        <w:rPr>
          <w:rFonts w:eastAsia="Cambria"/>
          <w:bCs/>
          <w:lang w:val="en-US" w:eastAsia="en-US"/>
        </w:rPr>
        <w:t xml:space="preserve">the impact of </w:t>
      </w:r>
      <w:r w:rsidR="00AB0628" w:rsidRPr="00D16B79">
        <w:rPr>
          <w:rFonts w:eastAsia="Cambria"/>
          <w:bCs/>
          <w:i/>
          <w:iCs/>
          <w:lang w:val="en-US" w:eastAsia="en-US"/>
        </w:rPr>
        <w:t>Progress</w:t>
      </w:r>
      <w:r w:rsidR="00AB0628" w:rsidRPr="00D16B79">
        <w:rPr>
          <w:rFonts w:eastAsia="Cambria"/>
          <w:bCs/>
          <w:i/>
          <w:iCs/>
          <w:vertAlign w:val="subscript"/>
          <w:lang w:val="en-US" w:eastAsia="en-US"/>
        </w:rPr>
        <w:t xml:space="preserve">j,t-1 </w:t>
      </w:r>
      <w:r w:rsidR="00AB0628" w:rsidRPr="00D16B79">
        <w:rPr>
          <w:rFonts w:eastAsia="Cambria"/>
          <w:bCs/>
          <w:lang w:val="en-US" w:eastAsia="en-US"/>
        </w:rPr>
        <w:t xml:space="preserve">on subsequent donations can be estimated in a continuous manner, </w:t>
      </w:r>
      <w:r w:rsidR="008C1D28" w:rsidRPr="00D16B79">
        <w:rPr>
          <w:rFonts w:eastAsia="Cambria"/>
          <w:bCs/>
          <w:lang w:val="en-US" w:eastAsia="en-US"/>
        </w:rPr>
        <w:t>revealing</w:t>
      </w:r>
      <w:r w:rsidR="00AB0628" w:rsidRPr="00D16B79">
        <w:rPr>
          <w:rFonts w:eastAsia="Cambria"/>
          <w:bCs/>
          <w:lang w:val="en-US" w:eastAsia="en-US"/>
        </w:rPr>
        <w:t xml:space="preserve"> important patterns in the data</w:t>
      </w:r>
      <w:r w:rsidR="00882648" w:rsidRPr="00D16B79">
        <w:rPr>
          <w:rFonts w:eastAsia="Cambria"/>
          <w:bCs/>
          <w:lang w:val="en-US" w:eastAsia="en-US"/>
        </w:rPr>
        <w:t>;</w:t>
      </w:r>
      <w:r w:rsidR="006967FF" w:rsidRPr="00D16B79">
        <w:rPr>
          <w:rFonts w:eastAsia="Cambria"/>
          <w:bCs/>
          <w:lang w:val="en-US" w:eastAsia="en-US"/>
        </w:rPr>
        <w:t xml:space="preserve"> and (2) many potential confounds that may affect donations (such as presentation order in search results) are appropriately controlled for. </w:t>
      </w:r>
      <w:r w:rsidR="00AB4030" w:rsidRPr="00D16B79">
        <w:rPr>
          <w:rFonts w:ascii="Times New Roman" w:eastAsia="Cambria" w:hAnsi="Times New Roman"/>
          <w:bCs/>
          <w:lang w:val="en-US" w:eastAsia="en-US"/>
        </w:rPr>
        <w:t xml:space="preserve">In particular, presentation order may be an important confounding variable because donors are likely to focus on those projects that appear higher in the search rankings on </w:t>
      </w:r>
      <w:r w:rsidR="00AB4030" w:rsidRPr="00D16B79">
        <w:rPr>
          <w:rFonts w:ascii="Times New Roman" w:eastAsia="Cambria" w:hAnsi="Times New Roman"/>
          <w:bCs/>
          <w:lang w:val="en-US" w:eastAsia="en-US"/>
        </w:rPr>
        <w:lastRenderedPageBreak/>
        <w:t xml:space="preserve">the website and cannot consider projects they do not see. Notably, the algorithm used by Kiva rewards projects that receive funds by improving their presentation order ranking: projects that receive funds are likely to appear </w:t>
      </w:r>
      <w:r w:rsidR="003C4CB7" w:rsidRPr="00D16B79">
        <w:rPr>
          <w:rFonts w:ascii="Times New Roman" w:eastAsia="Cambria" w:hAnsi="Times New Roman"/>
          <w:bCs/>
          <w:lang w:val="en-US" w:eastAsia="en-US"/>
        </w:rPr>
        <w:t>higher</w:t>
      </w:r>
      <w:r w:rsidR="00AB4030" w:rsidRPr="00D16B79">
        <w:rPr>
          <w:rFonts w:ascii="Times New Roman" w:eastAsia="Cambria" w:hAnsi="Times New Roman"/>
          <w:bCs/>
          <w:lang w:val="en-US" w:eastAsia="en-US"/>
        </w:rPr>
        <w:t xml:space="preserve"> in the presentation order. </w:t>
      </w:r>
      <w:r w:rsidR="007805A7" w:rsidRPr="00D16B79">
        <w:rPr>
          <w:rFonts w:ascii="Times New Roman" w:eastAsia="Cambria" w:hAnsi="Times New Roman"/>
          <w:bCs/>
          <w:lang w:val="en-US" w:eastAsia="en-US"/>
        </w:rPr>
        <w:t xml:space="preserve">This is important to understand and control for when using web data as the data context and user interface can affect consumer behavior </w:t>
      </w:r>
      <w:r w:rsidR="007805A7" w:rsidRPr="00D16B79">
        <w:rPr>
          <w:rFonts w:ascii="Times New Roman" w:eastAsia="Cambria" w:hAnsi="Times New Roman"/>
          <w:bCs/>
          <w:lang w:val="en-US" w:eastAsia="en-US"/>
        </w:rPr>
        <w:fldChar w:fldCharType="begin"/>
      </w:r>
      <w:r w:rsidR="00181321">
        <w:rPr>
          <w:rFonts w:ascii="Times New Roman" w:eastAsia="Cambria" w:hAnsi="Times New Roman"/>
          <w:bCs/>
          <w:lang w:val="en-US" w:eastAsia="en-US"/>
        </w:rPr>
        <w:instrText xml:space="preserve"> ADDIN ZOTERO_ITEM CSL_CITATION {"citationID":"BQwcdC8j","properties":{"formattedCitation":"(Boegershausen et al. 2022)","plainCitation":"(Boegershausen et al. 2022)","noteIndex":0},"citationItems":[{"id":7795,"uris":["http://zotero.org/users/4606674/items/338CHMPB"],"itemData":{"id":7795,"type":"article-journal","abstract":"Marketing scholars increasingly use web scraping and application programming interfaces (APIs) to collect data from the internet. Yet, despite the widespread use of such web data, the idiosyncratic and sometimes insidious challenges in its collection have received limited attention. How can researchers ensure that the data sets generated via web scraping and APIs are valid? While existing resources emphasize technical details of extracting web data, the authors propose a novel methodological framework focused on enhancing its validity. In particular, the framework highlights how addressing validity concerns requires the joint consideration of idiosyncratic technical and legal/ethical questions along the three stages of collecting web data: selecting data sources, designing the data collection, and extracting the data. The authors further review more than 300 articles using web data published in the top five marketing journals and offer a typology of how web data have advanced marketing thought. The article concludes with directions for future research to identify promising web data sources and embrace novel approaches for using web data to capture and describe evolving marketplace realities.","container-title":"Journal of Marketing","DOI":"10.1177/00222429221100750","ISSN":"0022-2429","issue":"5","language":"en","note":"publisher: SAGE Publications Inc","page":"1-20","source":"SAGE Journals","title":"Fields of Gold: Scraping Web Data for Marketing Insights","title-short":"Fields of Gold","volume":"86","author":[{"family":"Boegershausen","given":"Johannes"},{"family":"Datta","given":"Hannes"},{"family":"Borah","given":"Abhishek"},{"family":"Stephen","given":"Andrew T."}],"issued":{"date-parts":[["2022",9,1]]}}}],"schema":"https://github.com/citation-style-language/schema/raw/master/csl-citation.json"} </w:instrText>
      </w:r>
      <w:r w:rsidR="007805A7" w:rsidRPr="00D16B79">
        <w:rPr>
          <w:rFonts w:ascii="Times New Roman" w:eastAsia="Cambria" w:hAnsi="Times New Roman"/>
          <w:bCs/>
          <w:lang w:val="en-US" w:eastAsia="en-US"/>
        </w:rPr>
        <w:fldChar w:fldCharType="separate"/>
      </w:r>
      <w:r w:rsidR="007805A7" w:rsidRPr="00D16B79">
        <w:rPr>
          <w:rFonts w:ascii="Times New Roman" w:hAnsi="Times New Roman"/>
          <w:lang w:val="en-US"/>
        </w:rPr>
        <w:t>(Boegershausen et al. 2022)</w:t>
      </w:r>
      <w:r w:rsidR="007805A7" w:rsidRPr="00D16B79">
        <w:rPr>
          <w:rFonts w:ascii="Times New Roman" w:eastAsia="Cambria" w:hAnsi="Times New Roman"/>
          <w:bCs/>
          <w:lang w:val="en-US" w:eastAsia="en-US"/>
        </w:rPr>
        <w:fldChar w:fldCharType="end"/>
      </w:r>
      <w:r w:rsidR="007805A7" w:rsidRPr="00D16B79">
        <w:rPr>
          <w:rFonts w:ascii="Times New Roman" w:eastAsia="Cambria" w:hAnsi="Times New Roman"/>
          <w:bCs/>
          <w:lang w:val="en-US" w:eastAsia="en-US"/>
        </w:rPr>
        <w:t xml:space="preserve">. </w:t>
      </w:r>
      <w:r w:rsidR="00AB4030" w:rsidRPr="00D16B79">
        <w:rPr>
          <w:rFonts w:ascii="Times New Roman" w:eastAsia="Cambria" w:hAnsi="Times New Roman"/>
          <w:bCs/>
          <w:lang w:val="en-US" w:eastAsia="en-US"/>
        </w:rPr>
        <w:t xml:space="preserve">Thus, a key contribution of this study over previous research (Cryder, Loewenstein, and Seltman 2013) is that it measures and controls for these confounding variables. </w:t>
      </w:r>
      <w:r w:rsidR="003A77D9" w:rsidRPr="00D16B79">
        <w:rPr>
          <w:rFonts w:eastAsia="Cambria"/>
          <w:bCs/>
          <w:lang w:val="en-US" w:eastAsia="en-US"/>
        </w:rPr>
        <w:t>We</w:t>
      </w:r>
      <w:r w:rsidR="00145585" w:rsidRPr="00D16B79">
        <w:rPr>
          <w:rFonts w:eastAsia="Cambria"/>
          <w:bCs/>
          <w:lang w:val="en-US" w:eastAsia="en-US"/>
        </w:rPr>
        <w:t xml:space="preserve"> </w:t>
      </w:r>
      <w:r w:rsidR="00C66921" w:rsidRPr="00D16B79">
        <w:rPr>
          <w:rFonts w:ascii="Times New Roman" w:eastAsia="Cambria" w:hAnsi="Times New Roman"/>
          <w:bCs/>
          <w:lang w:val="en-US" w:eastAsia="en-US"/>
        </w:rPr>
        <w:t xml:space="preserve">ran the following </w:t>
      </w:r>
      <w:r w:rsidR="00DF447F" w:rsidRPr="00D16B79">
        <w:rPr>
          <w:rFonts w:ascii="Times New Roman" w:eastAsia="Cambria" w:hAnsi="Times New Roman"/>
          <w:lang w:val="en-US" w:eastAsia="en-US"/>
        </w:rPr>
        <w:t xml:space="preserve">model </w:t>
      </w:r>
      <w:r w:rsidR="00E80F75" w:rsidRPr="00D16B79">
        <w:rPr>
          <w:rFonts w:ascii="Times New Roman" w:eastAsia="Cambria" w:hAnsi="Times New Roman"/>
          <w:lang w:val="en-US" w:eastAsia="en-US"/>
        </w:rPr>
        <w:t>(</w:t>
      </w:r>
      <w:r w:rsidR="007724B8" w:rsidRPr="00D16B79">
        <w:rPr>
          <w:rFonts w:ascii="Times New Roman" w:eastAsia="Cambria" w:hAnsi="Times New Roman"/>
          <w:lang w:val="en-US" w:eastAsia="en-US"/>
        </w:rPr>
        <w:t>as detailed</w:t>
      </w:r>
      <w:r w:rsidR="00C66921" w:rsidRPr="00D16B79">
        <w:rPr>
          <w:rFonts w:ascii="Times New Roman" w:eastAsia="Cambria" w:hAnsi="Times New Roman"/>
          <w:lang w:val="en-US" w:eastAsia="en-US"/>
        </w:rPr>
        <w:t xml:space="preserve"> below</w:t>
      </w:r>
      <w:r w:rsidR="008619CD" w:rsidRPr="00D16B79">
        <w:rPr>
          <w:rFonts w:ascii="Times New Roman" w:eastAsia="Cambria" w:hAnsi="Times New Roman"/>
          <w:lang w:val="en-US" w:eastAsia="en-US"/>
        </w:rPr>
        <w:t xml:space="preserve"> in Table 2</w:t>
      </w:r>
      <w:r w:rsidR="00E80F75" w:rsidRPr="00D16B79">
        <w:rPr>
          <w:rFonts w:ascii="Times New Roman" w:eastAsia="Cambria" w:hAnsi="Times New Roman"/>
          <w:lang w:val="en-US" w:eastAsia="en-US"/>
        </w:rPr>
        <w:t>) twice</w:t>
      </w:r>
      <w:r w:rsidR="00AB7A11" w:rsidRPr="00D16B79">
        <w:rPr>
          <w:rFonts w:ascii="Times New Roman" w:eastAsia="Cambria" w:hAnsi="Times New Roman"/>
          <w:lang w:val="en-US" w:eastAsia="en-US"/>
        </w:rPr>
        <w:t>—</w:t>
      </w:r>
      <w:r w:rsidR="00E80F75" w:rsidRPr="00D16B79">
        <w:rPr>
          <w:rFonts w:ascii="Times New Roman" w:eastAsia="Cambria" w:hAnsi="Times New Roman"/>
          <w:lang w:val="en-US" w:eastAsia="en-US"/>
        </w:rPr>
        <w:t>once</w:t>
      </w:r>
      <w:r w:rsidR="00C66921" w:rsidRPr="00D16B79">
        <w:rPr>
          <w:rFonts w:ascii="Times New Roman" w:eastAsia="Cambria" w:hAnsi="Times New Roman"/>
          <w:lang w:val="en-US" w:eastAsia="en-US"/>
        </w:rPr>
        <w:t xml:space="preserve"> on </w:t>
      </w:r>
      <w:r w:rsidR="002A58C7" w:rsidRPr="00D16B79">
        <w:rPr>
          <w:rFonts w:ascii="Times New Roman" w:eastAsia="Cambria" w:hAnsi="Times New Roman"/>
          <w:lang w:val="en-US" w:eastAsia="en-US"/>
        </w:rPr>
        <w:t xml:space="preserve">the full </w:t>
      </w:r>
      <w:r w:rsidR="00E80F75" w:rsidRPr="00D16B79">
        <w:rPr>
          <w:rFonts w:ascii="Times New Roman" w:eastAsia="Cambria" w:hAnsi="Times New Roman"/>
          <w:lang w:val="en-US" w:eastAsia="en-US"/>
        </w:rPr>
        <w:t>sample</w:t>
      </w:r>
      <w:r w:rsidR="007C11F3" w:rsidRPr="00D16B79">
        <w:rPr>
          <w:rFonts w:ascii="Times New Roman" w:eastAsia="Cambria" w:hAnsi="Times New Roman"/>
          <w:lang w:val="en-US" w:eastAsia="en-US"/>
        </w:rPr>
        <w:t xml:space="preserve"> </w:t>
      </w:r>
      <w:r w:rsidR="00E80F75" w:rsidRPr="00D16B79">
        <w:rPr>
          <w:rFonts w:ascii="Times New Roman" w:eastAsia="Cambria" w:hAnsi="Times New Roman"/>
          <w:lang w:val="en-US" w:eastAsia="en-US"/>
        </w:rPr>
        <w:t>and once on</w:t>
      </w:r>
      <w:r w:rsidR="007C11F3" w:rsidRPr="00D16B79">
        <w:rPr>
          <w:rFonts w:ascii="Times New Roman" w:eastAsia="Cambria" w:hAnsi="Times New Roman"/>
          <w:lang w:val="en-US" w:eastAsia="en-US"/>
        </w:rPr>
        <w:t xml:space="preserve"> </w:t>
      </w:r>
      <w:r w:rsidR="00C66921" w:rsidRPr="00D16B79">
        <w:rPr>
          <w:rFonts w:ascii="Times New Roman" w:eastAsia="Cambria" w:hAnsi="Times New Roman"/>
          <w:lang w:val="en-US" w:eastAsia="en-US"/>
        </w:rPr>
        <w:t>each</w:t>
      </w:r>
      <w:r w:rsidR="00A568CB" w:rsidRPr="00D16B79">
        <w:rPr>
          <w:rFonts w:ascii="Times New Roman" w:eastAsia="Cambria" w:hAnsi="Times New Roman"/>
          <w:lang w:val="en-US" w:eastAsia="en-US"/>
        </w:rPr>
        <w:t xml:space="preserve"> group</w:t>
      </w:r>
      <w:r w:rsidR="00684858" w:rsidRPr="00D16B79">
        <w:rPr>
          <w:rFonts w:ascii="Times New Roman" w:eastAsia="Cambria" w:hAnsi="Times New Roman"/>
          <w:lang w:val="en-US" w:eastAsia="en-US"/>
        </w:rPr>
        <w:t>, separately</w:t>
      </w:r>
      <w:r w:rsidR="004253B1" w:rsidRPr="00D16B79">
        <w:rPr>
          <w:rFonts w:ascii="Times New Roman" w:eastAsia="Cambria" w:hAnsi="Times New Roman"/>
          <w:lang w:val="en-US" w:eastAsia="en-US"/>
        </w:rPr>
        <w:t xml:space="preserve">: </w:t>
      </w:r>
    </w:p>
    <w:p w14:paraId="753C5100" w14:textId="061F617C" w:rsidR="004253B1" w:rsidRPr="00D16B79" w:rsidRDefault="00FF0D9B" w:rsidP="00523A2C">
      <w:pPr>
        <w:pStyle w:val="ListParagraph"/>
        <w:numPr>
          <w:ilvl w:val="0"/>
          <w:numId w:val="5"/>
        </w:numPr>
        <w:spacing w:line="480" w:lineRule="auto"/>
        <w:ind w:hanging="1080"/>
        <w:rPr>
          <w:rFonts w:ascii="Times New Roman" w:eastAsia="Times New Roman" w:hAnsi="Times New Roman"/>
          <w:bCs/>
          <w:sz w:val="22"/>
          <w:szCs w:val="22"/>
          <w:lang w:val="en-US" w:eastAsia="en-US"/>
        </w:rPr>
      </w:pPr>
      <w:r w:rsidRPr="00D16B79">
        <w:rPr>
          <w:rFonts w:ascii="Times New Roman" w:eastAsia="Calibri" w:hAnsi="Times New Roman"/>
          <w:bCs/>
          <w:sz w:val="22"/>
          <w:szCs w:val="22"/>
          <w:lang w:val="en-US" w:eastAsia="en-US"/>
        </w:rPr>
        <w:t xml:space="preserve">   </w:t>
      </w:r>
      <m:oMath>
        <m:sSub>
          <m:sSubPr>
            <m:ctrlPr>
              <w:rPr>
                <w:rFonts w:ascii="Cambria Math" w:eastAsia="Times New Roman" w:hAnsi="Cambria Math"/>
                <w:bCs/>
                <w:i/>
                <w:sz w:val="22"/>
                <w:szCs w:val="22"/>
                <w:lang w:val="en-US" w:eastAsia="en-US"/>
              </w:rPr>
            </m:ctrlPr>
          </m:sSubPr>
          <m:e>
            <m:r>
              <m:rPr>
                <m:sty m:val="p"/>
              </m:rPr>
              <w:rPr>
                <w:rFonts w:ascii="Cambria Math" w:eastAsia="Times New Roman" w:hAnsi="Cambria Math"/>
                <w:sz w:val="22"/>
                <w:szCs w:val="22"/>
                <w:lang w:val="en-US" w:eastAsia="en-US"/>
              </w:rPr>
              <m:t>log⁡</m:t>
            </m:r>
            <m:r>
              <w:rPr>
                <w:rFonts w:ascii="Cambria Math" w:eastAsia="Times New Roman" w:hAnsi="Cambria Math"/>
                <w:sz w:val="22"/>
                <w:szCs w:val="22"/>
                <w:lang w:val="en-US" w:eastAsia="en-US"/>
              </w:rPr>
              <m:t>(1+Donation</m:t>
            </m:r>
          </m:e>
          <m:sub>
            <m:r>
              <w:rPr>
                <w:rFonts w:ascii="Cambria Math" w:eastAsia="Times New Roman" w:hAnsi="Cambria Math"/>
                <w:sz w:val="22"/>
                <w:szCs w:val="22"/>
                <w:lang w:val="en-US" w:eastAsia="en-US"/>
              </w:rPr>
              <m:t>j,t</m:t>
            </m:r>
          </m:sub>
        </m:sSub>
        <m:r>
          <w:rPr>
            <w:rFonts w:ascii="Cambria Math" w:eastAsia="Times New Roman" w:hAnsi="Cambria Math"/>
            <w:sz w:val="22"/>
            <w:szCs w:val="22"/>
            <w:lang w:val="en-US" w:eastAsia="en-US"/>
          </w:rPr>
          <m:t>)=</m:t>
        </m:r>
        <m:sSub>
          <m:sSubPr>
            <m:ctrlPr>
              <w:rPr>
                <w:rFonts w:ascii="Cambria Math" w:eastAsia="Times New Roman" w:hAnsi="Cambria Math"/>
                <w:bCs/>
                <w:i/>
                <w:sz w:val="22"/>
                <w:szCs w:val="22"/>
                <w:lang w:val="en-US" w:eastAsia="en-US"/>
              </w:rPr>
            </m:ctrlPr>
          </m:sSubPr>
          <m:e>
            <m:sSub>
              <m:sSubPr>
                <m:ctrlPr>
                  <w:rPr>
                    <w:rFonts w:ascii="Cambria Math" w:eastAsia="Times New Roman" w:hAnsi="Cambria Math"/>
                    <w:bCs/>
                    <w:i/>
                    <w:sz w:val="22"/>
                    <w:szCs w:val="22"/>
                    <w:lang w:val="en-US" w:eastAsia="en-US"/>
                  </w:rPr>
                </m:ctrlPr>
              </m:sSubPr>
              <m:e>
                <m:r>
                  <w:rPr>
                    <w:rFonts w:ascii="Cambria Math" w:eastAsia="Times New Roman" w:hAnsi="Cambria Math"/>
                    <w:sz w:val="22"/>
                    <w:szCs w:val="22"/>
                    <w:lang w:val="en-US" w:eastAsia="en-US"/>
                  </w:rPr>
                  <m:t>β</m:t>
                </m:r>
              </m:e>
              <m:sub>
                <m:r>
                  <w:rPr>
                    <w:rFonts w:ascii="Cambria Math" w:eastAsia="Times New Roman" w:hAnsi="Cambria Math"/>
                    <w:sz w:val="22"/>
                    <w:szCs w:val="22"/>
                    <w:lang w:val="en-US" w:eastAsia="en-US"/>
                  </w:rPr>
                  <m:t>1</m:t>
                </m:r>
              </m:sub>
            </m:sSub>
            <m:r>
              <w:rPr>
                <w:rFonts w:ascii="Cambria Math" w:eastAsia="Times New Roman" w:hAnsi="Cambria Math"/>
                <w:sz w:val="22"/>
                <w:szCs w:val="22"/>
                <w:lang w:val="en-US" w:eastAsia="en-US"/>
              </w:rPr>
              <m:t xml:space="preserve">. </m:t>
            </m:r>
            <m:r>
              <m:rPr>
                <m:sty m:val="p"/>
              </m:rPr>
              <w:rPr>
                <w:rFonts w:ascii="Cambria Math" w:eastAsia="Times New Roman" w:hAnsi="Cambria Math"/>
                <w:sz w:val="22"/>
                <w:szCs w:val="22"/>
                <w:lang w:val="en-US" w:eastAsia="en-US"/>
              </w:rPr>
              <m:t>log⁡</m:t>
            </m:r>
            <m:r>
              <w:rPr>
                <w:rFonts w:ascii="Cambria Math" w:eastAsia="Times New Roman" w:hAnsi="Cambria Math"/>
                <w:sz w:val="22"/>
                <w:szCs w:val="22"/>
                <w:lang w:val="en-US" w:eastAsia="en-US"/>
              </w:rPr>
              <m:t>(1+Progress</m:t>
            </m:r>
          </m:e>
          <m:sub>
            <m:r>
              <w:rPr>
                <w:rFonts w:ascii="Cambria Math" w:eastAsia="Times New Roman" w:hAnsi="Cambria Math"/>
                <w:sz w:val="22"/>
                <w:szCs w:val="22"/>
                <w:lang w:val="en-US" w:eastAsia="en-US"/>
              </w:rPr>
              <m:t>j,t-1</m:t>
            </m:r>
          </m:sub>
        </m:sSub>
        <m:r>
          <w:rPr>
            <w:rFonts w:ascii="Cambria Math" w:eastAsia="Times New Roman" w:hAnsi="Cambria Math"/>
            <w:sz w:val="22"/>
            <w:szCs w:val="22"/>
            <w:lang w:val="en-US" w:eastAsia="en-US"/>
          </w:rPr>
          <m:t>)+</m:t>
        </m:r>
        <m:sSub>
          <m:sSubPr>
            <m:ctrlPr>
              <w:rPr>
                <w:rFonts w:ascii="Cambria Math" w:eastAsia="Times New Roman" w:hAnsi="Cambria Math"/>
                <w:bCs/>
                <w:i/>
                <w:sz w:val="22"/>
                <w:szCs w:val="22"/>
                <w:lang w:val="en-US" w:eastAsia="en-US"/>
              </w:rPr>
            </m:ctrlPr>
          </m:sSubPr>
          <m:e>
            <m:sSub>
              <m:sSubPr>
                <m:ctrlPr>
                  <w:rPr>
                    <w:rFonts w:ascii="Cambria Math" w:eastAsia="Times New Roman" w:hAnsi="Cambria Math"/>
                    <w:bCs/>
                    <w:i/>
                    <w:sz w:val="22"/>
                    <w:szCs w:val="22"/>
                    <w:lang w:val="en-US" w:eastAsia="en-US"/>
                  </w:rPr>
                </m:ctrlPr>
              </m:sSubPr>
              <m:e>
                <m:r>
                  <w:rPr>
                    <w:rFonts w:ascii="Cambria Math" w:eastAsia="Times New Roman" w:hAnsi="Cambria Math"/>
                    <w:sz w:val="22"/>
                    <w:szCs w:val="22"/>
                    <w:lang w:val="en-US" w:eastAsia="en-US"/>
                  </w:rPr>
                  <m:t>β</m:t>
                </m:r>
              </m:e>
              <m:sub>
                <m:r>
                  <w:rPr>
                    <w:rFonts w:ascii="Cambria Math" w:eastAsia="Times New Roman" w:hAnsi="Cambria Math"/>
                    <w:sz w:val="22"/>
                    <w:szCs w:val="22"/>
                    <w:lang w:val="en-US" w:eastAsia="en-US"/>
                  </w:rPr>
                  <m:t>2</m:t>
                </m:r>
              </m:sub>
            </m:sSub>
            <m:r>
              <w:rPr>
                <w:rFonts w:ascii="Cambria Math" w:eastAsia="Times New Roman" w:hAnsi="Cambria Math"/>
                <w:sz w:val="22"/>
                <w:szCs w:val="22"/>
                <w:lang w:val="en-US" w:eastAsia="en-US"/>
              </w:rPr>
              <m:t>. X</m:t>
            </m:r>
          </m:e>
          <m:sub>
            <m:r>
              <w:rPr>
                <w:rFonts w:ascii="Cambria Math" w:eastAsia="Times New Roman" w:hAnsi="Cambria Math"/>
                <w:sz w:val="22"/>
                <w:szCs w:val="22"/>
                <w:lang w:val="en-US" w:eastAsia="en-US"/>
              </w:rPr>
              <m:t>j,t</m:t>
            </m:r>
          </m:sub>
        </m:sSub>
        <m:r>
          <w:rPr>
            <w:rFonts w:ascii="Cambria Math" w:eastAsia="Times New Roman" w:hAnsi="Cambria Math"/>
            <w:sz w:val="22"/>
            <w:szCs w:val="22"/>
            <w:lang w:val="en-US" w:eastAsia="en-US"/>
          </w:rPr>
          <m:t xml:space="preserve"> + </m:t>
        </m:r>
        <m:sSub>
          <m:sSubPr>
            <m:ctrlPr>
              <w:rPr>
                <w:rFonts w:ascii="Cambria Math" w:eastAsia="Times New Roman" w:hAnsi="Cambria Math"/>
                <w:bCs/>
                <w:i/>
                <w:sz w:val="22"/>
                <w:szCs w:val="22"/>
                <w:lang w:val="en-US" w:eastAsia="en-US"/>
              </w:rPr>
            </m:ctrlPr>
          </m:sSubPr>
          <m:e>
            <m:r>
              <w:rPr>
                <w:rFonts w:ascii="Cambria Math" w:eastAsia="Times New Roman" w:hAnsi="Cambria Math"/>
                <w:sz w:val="22"/>
                <w:szCs w:val="22"/>
                <w:lang w:val="en-US" w:eastAsia="en-US"/>
              </w:rPr>
              <m:t>μ</m:t>
            </m:r>
          </m:e>
          <m:sub>
            <m:r>
              <w:rPr>
                <w:rFonts w:ascii="Cambria Math" w:eastAsia="Times New Roman" w:hAnsi="Cambria Math"/>
                <w:sz w:val="22"/>
                <w:szCs w:val="22"/>
                <w:lang w:val="en-US" w:eastAsia="en-US"/>
              </w:rPr>
              <m:t>j,τ</m:t>
            </m:r>
          </m:sub>
        </m:sSub>
        <m:r>
          <w:rPr>
            <w:rFonts w:ascii="Cambria Math" w:eastAsia="Times New Roman" w:hAnsi="Cambria Math"/>
            <w:sz w:val="22"/>
            <w:szCs w:val="22"/>
            <w:lang w:val="en-US" w:eastAsia="en-US"/>
          </w:rPr>
          <m:t xml:space="preserve">+ </m:t>
        </m:r>
        <w:bookmarkStart w:id="25" w:name="_Hlk103812819"/>
        <m:sSub>
          <m:sSubPr>
            <m:ctrlPr>
              <w:rPr>
                <w:rFonts w:ascii="Cambria Math" w:eastAsia="Times New Roman" w:hAnsi="Cambria Math"/>
                <w:sz w:val="22"/>
                <w:szCs w:val="22"/>
                <w:lang w:val="en-US" w:eastAsia="en-US"/>
              </w:rPr>
            </m:ctrlPr>
          </m:sSubPr>
          <m:e>
            <m:r>
              <m:rPr>
                <m:sty m:val="p"/>
              </m:rPr>
              <w:rPr>
                <w:rFonts w:ascii="Cambria Math" w:eastAsia="Times New Roman" w:hAnsi="Cambria Math"/>
                <w:sz w:val="22"/>
                <w:szCs w:val="22"/>
                <w:lang w:val="en-US" w:eastAsia="en-US"/>
              </w:rPr>
              <m:t>κ</m:t>
            </m:r>
          </m:e>
          <m:sub>
            <m:r>
              <m:rPr>
                <m:sty m:val="p"/>
              </m:rPr>
              <w:rPr>
                <w:rFonts w:ascii="Cambria Math" w:eastAsia="Times New Roman" w:hAnsi="Cambria Math"/>
                <w:sz w:val="22"/>
                <w:szCs w:val="22"/>
                <w:lang w:val="en-US" w:eastAsia="en-US"/>
              </w:rPr>
              <m:t>t</m:t>
            </m:r>
          </m:sub>
        </m:sSub>
        <w:bookmarkEnd w:id="25"/>
        <m:r>
          <w:rPr>
            <w:rFonts w:ascii="Cambria Math" w:eastAsia="Times New Roman" w:hAnsi="Cambria Math"/>
            <w:sz w:val="22"/>
            <w:szCs w:val="22"/>
            <w:lang w:val="en-US" w:eastAsia="en-US"/>
          </w:rPr>
          <m:t>+</m:t>
        </m:r>
        <m:sSub>
          <m:sSubPr>
            <m:ctrlPr>
              <w:rPr>
                <w:rFonts w:ascii="Cambria Math" w:eastAsia="Times New Roman" w:hAnsi="Cambria Math"/>
                <w:i/>
                <w:sz w:val="22"/>
                <w:szCs w:val="22"/>
                <w:lang w:val="en-US" w:eastAsia="en-US"/>
              </w:rPr>
            </m:ctrlPr>
          </m:sSubPr>
          <m:e>
            <m:r>
              <m:rPr>
                <m:sty m:val="p"/>
              </m:rPr>
              <w:rPr>
                <w:rFonts w:ascii="Cambria Math" w:eastAsia="Times New Roman" w:hAnsi="Cambria Math"/>
                <w:sz w:val="22"/>
                <w:szCs w:val="22"/>
                <w:lang w:val="en-US" w:eastAsia="en-US"/>
              </w:rPr>
              <m:t>ϵ</m:t>
            </m:r>
          </m:e>
          <m:sub>
            <m:r>
              <w:rPr>
                <w:rFonts w:ascii="Cambria Math" w:eastAsia="Times New Roman" w:hAnsi="Cambria Math"/>
                <w:sz w:val="22"/>
                <w:szCs w:val="22"/>
                <w:lang w:val="en-US" w:eastAsia="en-US"/>
              </w:rPr>
              <m:t>j,t</m:t>
            </m:r>
          </m:sub>
        </m:sSub>
        <m:r>
          <w:rPr>
            <w:rFonts w:ascii="Cambria Math" w:eastAsia="Times New Roman" w:hAnsi="Cambria Math"/>
            <w:sz w:val="22"/>
            <w:szCs w:val="22"/>
            <w:lang w:val="en-US" w:eastAsia="en-US"/>
          </w:rPr>
          <m:t xml:space="preserve">        </m:t>
        </m:r>
      </m:oMath>
    </w:p>
    <w:p w14:paraId="0702AC13" w14:textId="59DDC420" w:rsidR="002642F1" w:rsidRPr="00D16B79" w:rsidRDefault="00903143">
      <w:pPr>
        <w:spacing w:line="480" w:lineRule="auto"/>
        <w:ind w:firstLine="720"/>
        <w:rPr>
          <w:rFonts w:ascii="Times New Roman" w:eastAsia="Times New Roman" w:hAnsi="Times New Roman"/>
          <w:lang w:val="en-US" w:eastAsia="en-US"/>
        </w:rPr>
      </w:pPr>
      <w:bookmarkStart w:id="26" w:name="_Hlk53784355"/>
      <w:r w:rsidRPr="00D16B79">
        <w:rPr>
          <w:rFonts w:ascii="Times New Roman" w:eastAsia="Cambria" w:hAnsi="Times New Roman"/>
          <w:lang w:val="en-US" w:eastAsia="en-US"/>
        </w:rPr>
        <w:t>We use</w:t>
      </w:r>
      <w:r w:rsidR="007724B8" w:rsidRPr="00D16B79">
        <w:rPr>
          <w:rFonts w:ascii="Times New Roman" w:eastAsia="Cambria" w:hAnsi="Times New Roman"/>
          <w:lang w:val="en-US" w:eastAsia="en-US"/>
        </w:rPr>
        <w:t>d</w:t>
      </w:r>
      <w:r w:rsidRPr="00D16B79">
        <w:rPr>
          <w:rFonts w:ascii="Times New Roman" w:eastAsia="Cambria" w:hAnsi="Times New Roman"/>
          <w:lang w:val="en-US" w:eastAsia="en-US"/>
        </w:rPr>
        <w:t xml:space="preserve"> </w:t>
      </w:r>
      <w:proofErr w:type="spellStart"/>
      <w:r w:rsidR="00FC3606" w:rsidRPr="00D16B79">
        <w:rPr>
          <w:rFonts w:eastAsia="Cambria"/>
          <w:bCs/>
          <w:i/>
          <w:iCs/>
          <w:lang w:val="en-US" w:eastAsia="en-US"/>
        </w:rPr>
        <w:t>Donation</w:t>
      </w:r>
      <w:r w:rsidR="003A77D9" w:rsidRPr="00D16B79">
        <w:rPr>
          <w:rFonts w:ascii="Times New Roman" w:eastAsia="Calibri" w:hAnsi="Times New Roman"/>
          <w:i/>
          <w:iCs/>
          <w:vertAlign w:val="subscript"/>
          <w:lang w:val="en-US" w:eastAsia="en-US"/>
        </w:rPr>
        <w:t>j,t</w:t>
      </w:r>
      <w:proofErr w:type="spellEnd"/>
      <w:r w:rsidR="003A77D9" w:rsidRPr="00D16B79">
        <w:rPr>
          <w:rFonts w:eastAsia="Cambria"/>
          <w:bCs/>
          <w:lang w:val="en-US" w:eastAsia="en-US"/>
        </w:rPr>
        <w:t xml:space="preserve"> </w:t>
      </w:r>
      <w:r w:rsidRPr="00D16B79">
        <w:rPr>
          <w:rFonts w:ascii="Times New Roman" w:eastAsia="Cambria" w:hAnsi="Times New Roman"/>
          <w:lang w:val="en-US" w:eastAsia="en-US"/>
        </w:rPr>
        <w:t xml:space="preserve">as </w:t>
      </w:r>
      <w:r w:rsidR="004E6F36" w:rsidRPr="00D16B79">
        <w:rPr>
          <w:rFonts w:ascii="Times New Roman" w:eastAsia="Cambria" w:hAnsi="Times New Roman"/>
          <w:lang w:val="en-US" w:eastAsia="en-US"/>
        </w:rPr>
        <w:t xml:space="preserve">the </w:t>
      </w:r>
      <w:r w:rsidRPr="00D16B79">
        <w:rPr>
          <w:rFonts w:ascii="Times New Roman" w:eastAsia="Cambria" w:hAnsi="Times New Roman"/>
          <w:lang w:val="en-US" w:eastAsia="en-US"/>
        </w:rPr>
        <w:t>dependent variable</w:t>
      </w:r>
      <w:r w:rsidR="003A77D9" w:rsidRPr="00D16B79">
        <w:rPr>
          <w:rFonts w:ascii="Times New Roman" w:eastAsia="Cambria" w:hAnsi="Times New Roman"/>
          <w:lang w:val="en-US" w:eastAsia="en-US"/>
        </w:rPr>
        <w:t xml:space="preserve"> (</w:t>
      </w:r>
      <w:r w:rsidR="007724B8" w:rsidRPr="00D16B79">
        <w:rPr>
          <w:rFonts w:ascii="Times New Roman" w:eastAsia="Cambria" w:hAnsi="Times New Roman"/>
          <w:lang w:val="en-US" w:eastAsia="en-US"/>
        </w:rPr>
        <w:t xml:space="preserve">with </w:t>
      </w:r>
      <w:r w:rsidR="003A77D9" w:rsidRPr="00D16B79">
        <w:rPr>
          <w:rFonts w:ascii="Times New Roman" w:eastAsia="Cambria" w:hAnsi="Times New Roman"/>
          <w:lang w:val="en-US" w:eastAsia="en-US"/>
        </w:rPr>
        <w:t>a log transformation</w:t>
      </w:r>
      <w:r w:rsidR="00EB05AF" w:rsidRPr="00D16B79">
        <w:rPr>
          <w:rFonts w:ascii="Times New Roman" w:eastAsia="Cambria" w:hAnsi="Times New Roman"/>
          <w:lang w:val="en-US" w:eastAsia="en-US"/>
        </w:rPr>
        <w:t xml:space="preserve"> </w:t>
      </w:r>
      <w:r w:rsidR="00B31743" w:rsidRPr="00D16B79">
        <w:rPr>
          <w:rFonts w:ascii="Times New Roman" w:eastAsia="Cambria" w:hAnsi="Times New Roman"/>
          <w:lang w:val="en-US" w:eastAsia="en-US"/>
        </w:rPr>
        <w:t>due to</w:t>
      </w:r>
      <w:r w:rsidR="003A77D9" w:rsidRPr="00D16B79">
        <w:rPr>
          <w:rFonts w:ascii="Times New Roman" w:eastAsia="Cambria" w:hAnsi="Times New Roman"/>
          <w:lang w:val="en-US" w:eastAsia="en-US"/>
        </w:rPr>
        <w:t xml:space="preserve"> its</w:t>
      </w:r>
      <w:r w:rsidRPr="00D16B79">
        <w:rPr>
          <w:rFonts w:ascii="Times New Roman" w:eastAsia="Cambria" w:hAnsi="Times New Roman"/>
          <w:lang w:val="en-US" w:eastAsia="en-US"/>
        </w:rPr>
        <w:t xml:space="preserve"> </w:t>
      </w:r>
      <w:r w:rsidR="008619CD" w:rsidRPr="00D16B79">
        <w:rPr>
          <w:rFonts w:ascii="Times New Roman" w:eastAsia="Cambria" w:hAnsi="Times New Roman"/>
          <w:lang w:val="en-US" w:eastAsia="en-US"/>
        </w:rPr>
        <w:t xml:space="preserve">high </w:t>
      </w:r>
      <w:r w:rsidRPr="00D16B79">
        <w:rPr>
          <w:rFonts w:ascii="Times New Roman" w:eastAsia="Cambria" w:hAnsi="Times New Roman"/>
          <w:lang w:val="en-US" w:eastAsia="en-US"/>
        </w:rPr>
        <w:t>skew</w:t>
      </w:r>
      <w:r w:rsidR="003A77D9" w:rsidRPr="00D16B79">
        <w:rPr>
          <w:rFonts w:ascii="Times New Roman" w:eastAsia="Cambria" w:hAnsi="Times New Roman"/>
          <w:lang w:val="en-US" w:eastAsia="en-US"/>
        </w:rPr>
        <w:t>ness</w:t>
      </w:r>
      <w:r w:rsidR="001108C7" w:rsidRPr="00D16B79">
        <w:rPr>
          <w:rFonts w:ascii="Times New Roman" w:eastAsia="Cambria" w:hAnsi="Times New Roman"/>
          <w:lang w:val="en-US" w:eastAsia="en-US"/>
        </w:rPr>
        <w:t>; analyses without log transformation are consistent and provided in Web Appendix B</w:t>
      </w:r>
      <w:r w:rsidR="003A77D9" w:rsidRPr="00D16B79">
        <w:rPr>
          <w:rFonts w:ascii="Times New Roman" w:eastAsia="Cambria" w:hAnsi="Times New Roman"/>
          <w:lang w:val="en-US" w:eastAsia="en-US"/>
        </w:rPr>
        <w:t>)</w:t>
      </w:r>
      <w:r w:rsidRPr="00D16B79">
        <w:rPr>
          <w:rFonts w:ascii="Times New Roman" w:eastAsia="Cambria" w:hAnsi="Times New Roman"/>
          <w:lang w:val="en-US" w:eastAsia="en-US"/>
        </w:rPr>
        <w:t>. Th</w:t>
      </w:r>
      <w:r w:rsidR="003A77D9" w:rsidRPr="00D16B79">
        <w:rPr>
          <w:rFonts w:ascii="Times New Roman" w:eastAsia="Cambria" w:hAnsi="Times New Roman"/>
          <w:lang w:val="en-US" w:eastAsia="en-US"/>
        </w:rPr>
        <w:t xml:space="preserve">e independent variable </w:t>
      </w:r>
      <m:oMath>
        <m:sSub>
          <m:sSubPr>
            <m:ctrlPr>
              <w:rPr>
                <w:rFonts w:ascii="Cambria Math" w:eastAsia="Times New Roman" w:hAnsi="Cambria Math"/>
                <w:bCs/>
                <w:i/>
                <w:lang w:val="en-US" w:eastAsia="en-US"/>
              </w:rPr>
            </m:ctrlPr>
          </m:sSubPr>
          <m:e>
            <m:r>
              <w:rPr>
                <w:rFonts w:ascii="Cambria Math" w:eastAsia="Times New Roman" w:hAnsi="Cambria Math"/>
                <w:lang w:val="en-US" w:eastAsia="en-US"/>
              </w:rPr>
              <m:t>X</m:t>
            </m:r>
          </m:e>
          <m:sub>
            <m:r>
              <w:rPr>
                <w:rFonts w:ascii="Cambria Math" w:eastAsia="Times New Roman" w:hAnsi="Cambria Math"/>
                <w:lang w:val="en-US" w:eastAsia="en-US"/>
              </w:rPr>
              <m:t>j,t</m:t>
            </m:r>
          </m:sub>
        </m:sSub>
      </m:oMath>
      <w:r w:rsidR="003A77D9" w:rsidRPr="00D16B79">
        <w:rPr>
          <w:rFonts w:ascii="Times New Roman" w:eastAsia="Cambria" w:hAnsi="Times New Roman"/>
          <w:bCs/>
          <w:lang w:val="en-US" w:eastAsia="en-US"/>
        </w:rPr>
        <w:t xml:space="preserve"> </w:t>
      </w:r>
      <w:r w:rsidR="007724B8" w:rsidRPr="00D16B79">
        <w:rPr>
          <w:rFonts w:ascii="Times New Roman" w:eastAsia="Cambria" w:hAnsi="Times New Roman"/>
          <w:bCs/>
          <w:lang w:val="en-US" w:eastAsia="en-US"/>
        </w:rPr>
        <w:t xml:space="preserve">included </w:t>
      </w:r>
      <w:r w:rsidR="003A77D9" w:rsidRPr="00D16B79">
        <w:rPr>
          <w:rFonts w:ascii="Times New Roman" w:eastAsia="Cambria" w:hAnsi="Times New Roman"/>
          <w:bCs/>
          <w:lang w:val="en-US" w:eastAsia="en-US"/>
        </w:rPr>
        <w:t>project characteristics</w:t>
      </w:r>
      <w:r w:rsidR="0092700E" w:rsidRPr="00D16B79">
        <w:rPr>
          <w:rFonts w:ascii="Times New Roman" w:eastAsia="Cambria" w:hAnsi="Times New Roman"/>
          <w:bCs/>
          <w:lang w:val="en-US" w:eastAsia="en-US"/>
        </w:rPr>
        <w:t xml:space="preserve"> that varied over time</w:t>
      </w:r>
      <w:r w:rsidR="003A77D9" w:rsidRPr="00D16B79">
        <w:rPr>
          <w:rFonts w:ascii="Times New Roman" w:eastAsia="Cambria" w:hAnsi="Times New Roman"/>
          <w:bCs/>
          <w:lang w:val="en-US" w:eastAsia="en-US"/>
        </w:rPr>
        <w:t xml:space="preserve"> such as</w:t>
      </w:r>
      <w:r w:rsidRPr="00D16B79">
        <w:rPr>
          <w:rFonts w:ascii="Times New Roman" w:eastAsia="Times New Roman" w:hAnsi="Times New Roman"/>
          <w:lang w:val="en-US" w:eastAsia="en-US"/>
        </w:rPr>
        <w:t xml:space="preserve"> </w:t>
      </w:r>
      <w:r w:rsidR="005A15A5" w:rsidRPr="00D16B79">
        <w:rPr>
          <w:rFonts w:ascii="Times New Roman" w:eastAsia="Times New Roman" w:hAnsi="Times New Roman"/>
          <w:lang w:val="en-US" w:eastAsia="en-US"/>
        </w:rPr>
        <w:t xml:space="preserve">lagged </w:t>
      </w:r>
      <w:r w:rsidRPr="00D16B79">
        <w:rPr>
          <w:rFonts w:ascii="Times New Roman" w:eastAsia="Times New Roman" w:hAnsi="Times New Roman"/>
          <w:lang w:val="en-US" w:eastAsia="en-US"/>
        </w:rPr>
        <w:t>presentation order</w:t>
      </w:r>
      <w:r w:rsidR="003A77D9" w:rsidRPr="00D16B79">
        <w:rPr>
          <w:rFonts w:ascii="Times New Roman" w:eastAsia="Times New Roman" w:hAnsi="Times New Roman"/>
          <w:lang w:val="en-US" w:eastAsia="en-US"/>
        </w:rPr>
        <w:t xml:space="preserve"> and</w:t>
      </w:r>
      <w:r w:rsidR="005A15A5" w:rsidRPr="00D16B79">
        <w:rPr>
          <w:rFonts w:ascii="Times New Roman" w:eastAsia="Times New Roman" w:hAnsi="Times New Roman"/>
          <w:lang w:val="en-US" w:eastAsia="en-US"/>
        </w:rPr>
        <w:t xml:space="preserve"> </w:t>
      </w:r>
      <w:r w:rsidRPr="00D16B79">
        <w:rPr>
          <w:rFonts w:ascii="Times New Roman" w:eastAsia="Times New Roman" w:hAnsi="Times New Roman"/>
          <w:lang w:val="en-US" w:eastAsia="en-US"/>
        </w:rPr>
        <w:t>remaining time until the expiration date.</w:t>
      </w:r>
      <w:bookmarkEnd w:id="26"/>
      <w:r w:rsidR="003A77D9" w:rsidRPr="00D16B79">
        <w:rPr>
          <w:rFonts w:ascii="Times New Roman" w:eastAsia="Cambria" w:hAnsi="Times New Roman"/>
          <w:lang w:val="en-US" w:eastAsia="en-US"/>
        </w:rPr>
        <w:t xml:space="preserve"> </w:t>
      </w:r>
      <w:r w:rsidR="00F80BB5" w:rsidRPr="00D16B79">
        <w:rPr>
          <w:rFonts w:ascii="Times New Roman" w:eastAsia="Cambria" w:hAnsi="Times New Roman"/>
          <w:lang w:val="en-US" w:eastAsia="en-US"/>
        </w:rPr>
        <w:t xml:space="preserve">We also </w:t>
      </w:r>
      <w:r w:rsidR="00DF447F" w:rsidRPr="00D16B79">
        <w:rPr>
          <w:rFonts w:ascii="Times New Roman" w:eastAsia="Times New Roman" w:hAnsi="Times New Roman"/>
          <w:lang w:val="en-US" w:eastAsia="en-US"/>
        </w:rPr>
        <w:t>include</w:t>
      </w:r>
      <w:r w:rsidR="0092700E" w:rsidRPr="00D16B79">
        <w:rPr>
          <w:rFonts w:ascii="Times New Roman" w:eastAsia="Times New Roman" w:hAnsi="Times New Roman"/>
          <w:lang w:val="en-US" w:eastAsia="en-US"/>
        </w:rPr>
        <w:t>d</w:t>
      </w:r>
      <w:r w:rsidR="00DF447F" w:rsidRPr="00D16B79">
        <w:rPr>
          <w:rFonts w:ascii="Times New Roman" w:eastAsia="Times New Roman" w:hAnsi="Times New Roman"/>
          <w:lang w:val="en-US" w:eastAsia="en-US"/>
        </w:rPr>
        <w:t xml:space="preserve"> a rich set of fixed effects</w:t>
      </w:r>
      <w:r w:rsidR="003A77D9" w:rsidRPr="00D16B79">
        <w:rPr>
          <w:rFonts w:ascii="Times New Roman" w:eastAsia="Times New Roman" w:hAnsi="Times New Roman"/>
          <w:lang w:val="en-US" w:eastAsia="en-US"/>
        </w:rPr>
        <w:t xml:space="preserve"> to control for any unobserved project-level characteristics </w:t>
      </w:r>
      <w:r w:rsidR="0092700E" w:rsidRPr="00D16B79">
        <w:rPr>
          <w:lang w:val="en-US"/>
        </w:rPr>
        <w:t xml:space="preserve">and/or </w:t>
      </w:r>
      <w:r w:rsidR="00545FA7" w:rsidRPr="00D16B79">
        <w:rPr>
          <w:lang w:val="en-US"/>
        </w:rPr>
        <w:t>borrower</w:t>
      </w:r>
      <w:r w:rsidR="0092700E" w:rsidRPr="00D16B79">
        <w:rPr>
          <w:lang w:val="en-US"/>
        </w:rPr>
        <w:t>-level characteristics</w:t>
      </w:r>
      <w:r w:rsidR="003A77D9" w:rsidRPr="00D16B79">
        <w:rPr>
          <w:lang w:val="en-US"/>
        </w:rPr>
        <w:t xml:space="preserve">. </w:t>
      </w:r>
      <w:r w:rsidR="004522BB" w:rsidRPr="00D16B79">
        <w:rPr>
          <w:lang w:val="en-US"/>
        </w:rPr>
        <w:t xml:space="preserve">Specifically, we </w:t>
      </w:r>
      <w:r w:rsidR="003A77D9" w:rsidRPr="00D16B79">
        <w:rPr>
          <w:lang w:val="en-US"/>
        </w:rPr>
        <w:t>first</w:t>
      </w:r>
      <w:r w:rsidR="00DF447F" w:rsidRPr="00D16B79">
        <w:rPr>
          <w:rFonts w:ascii="Times New Roman" w:eastAsia="Times New Roman" w:hAnsi="Times New Roman"/>
          <w:lang w:val="en-US" w:eastAsia="en-US"/>
        </w:rPr>
        <w:t xml:space="preserve"> includ</w:t>
      </w:r>
      <w:r w:rsidR="003A77D9" w:rsidRPr="00D16B79">
        <w:rPr>
          <w:rFonts w:ascii="Times New Roman" w:eastAsia="Times New Roman" w:hAnsi="Times New Roman"/>
          <w:lang w:val="en-US" w:eastAsia="en-US"/>
        </w:rPr>
        <w:t>e</w:t>
      </w:r>
      <w:r w:rsidR="004522BB" w:rsidRPr="00D16B79">
        <w:rPr>
          <w:rFonts w:ascii="Times New Roman" w:eastAsia="Times New Roman" w:hAnsi="Times New Roman"/>
          <w:lang w:val="en-US" w:eastAsia="en-US"/>
        </w:rPr>
        <w:t>d</w:t>
      </w:r>
      <w:r w:rsidR="003A77D9" w:rsidRPr="00D16B79">
        <w:rPr>
          <w:rFonts w:ascii="Times New Roman" w:eastAsia="Times New Roman" w:hAnsi="Times New Roman"/>
          <w:lang w:val="en-US" w:eastAsia="en-US"/>
        </w:rPr>
        <w:t xml:space="preserve"> </w:t>
      </w:r>
      <w:r w:rsidR="00DF447F" w:rsidRPr="00D16B79">
        <w:rPr>
          <w:rFonts w:ascii="Times New Roman" w:eastAsia="Times New Roman" w:hAnsi="Times New Roman"/>
          <w:lang w:val="en-US" w:eastAsia="en-US"/>
        </w:rPr>
        <w:t>project</w:t>
      </w:r>
      <w:r w:rsidR="003A77D9" w:rsidRPr="00D16B79">
        <w:rPr>
          <w:rFonts w:ascii="Times New Roman" w:eastAsia="Times New Roman" w:hAnsi="Times New Roman"/>
          <w:lang w:val="en-US" w:eastAsia="en-US"/>
        </w:rPr>
        <w:t>-level fixed effects</w:t>
      </w:r>
      <w:r w:rsidR="004522BB" w:rsidRPr="00D16B79">
        <w:rPr>
          <w:rFonts w:ascii="Times New Roman" w:eastAsia="Times New Roman" w:hAnsi="Times New Roman"/>
          <w:lang w:val="en-US" w:eastAsia="en-US"/>
        </w:rPr>
        <w:t xml:space="preserve"> that varied over time</w:t>
      </w:r>
      <w:r w:rsidR="00DF447F" w:rsidRPr="00D16B79">
        <w:rPr>
          <w:rFonts w:ascii="Times New Roman" w:eastAsia="Times New Roman" w:hAnsi="Times New Roman"/>
          <w:lang w:val="en-US" w:eastAsia="en-US"/>
        </w:rPr>
        <w:t xml:space="preserve"> (i.e., </w:t>
      </w:r>
      <m:oMath>
        <m:sSub>
          <m:sSubPr>
            <m:ctrlPr>
              <w:rPr>
                <w:rFonts w:ascii="Cambria Math" w:eastAsia="Times New Roman" w:hAnsi="Cambria Math"/>
                <w:bCs/>
                <w:i/>
                <w:sz w:val="22"/>
                <w:szCs w:val="22"/>
                <w:lang w:val="en-US" w:eastAsia="en-US"/>
              </w:rPr>
            </m:ctrlPr>
          </m:sSubPr>
          <m:e>
            <m:r>
              <w:rPr>
                <w:rFonts w:ascii="Cambria Math" w:eastAsia="Times New Roman" w:hAnsi="Cambria Math"/>
                <w:sz w:val="22"/>
                <w:szCs w:val="22"/>
                <w:lang w:val="en-US" w:eastAsia="en-US"/>
              </w:rPr>
              <m:t>μ</m:t>
            </m:r>
          </m:e>
          <m:sub>
            <m:r>
              <w:rPr>
                <w:rFonts w:ascii="Cambria Math" w:eastAsia="Times New Roman" w:hAnsi="Cambria Math"/>
                <w:sz w:val="22"/>
                <w:szCs w:val="22"/>
                <w:lang w:val="en-US" w:eastAsia="en-US"/>
              </w:rPr>
              <m:t>j,τ</m:t>
            </m:r>
          </m:sub>
        </m:sSub>
      </m:oMath>
      <w:r w:rsidR="004E312E" w:rsidRPr="00D16B79">
        <w:rPr>
          <w:rFonts w:ascii="Times New Roman" w:eastAsia="Times New Roman" w:hAnsi="Times New Roman"/>
          <w:bCs/>
          <w:lang w:val="en-US" w:eastAsia="en-US"/>
        </w:rPr>
        <w:t>,</w:t>
      </w:r>
      <w:r w:rsidR="00395C61" w:rsidRPr="00D16B79">
        <w:rPr>
          <w:rFonts w:ascii="Times New Roman" w:eastAsia="Times New Roman" w:hAnsi="Times New Roman"/>
          <w:bCs/>
          <w:lang w:val="en-US" w:eastAsia="en-US"/>
        </w:rPr>
        <w:t xml:space="preserve"> </w:t>
      </w:r>
      <w:r w:rsidR="00364589" w:rsidRPr="00D16B79">
        <w:rPr>
          <w:rFonts w:ascii="Times New Roman" w:eastAsia="Times New Roman" w:hAnsi="Times New Roman"/>
          <w:bCs/>
          <w:lang w:val="en-US" w:eastAsia="en-US"/>
        </w:rPr>
        <w:t xml:space="preserve">where τ is a </w:t>
      </w:r>
      <w:r w:rsidR="00395C61" w:rsidRPr="00D16B79">
        <w:rPr>
          <w:rFonts w:ascii="Times New Roman" w:eastAsia="Times New Roman" w:hAnsi="Times New Roman"/>
          <w:bCs/>
          <w:lang w:val="en-US" w:eastAsia="en-US"/>
        </w:rPr>
        <w:t>higher-level</w:t>
      </w:r>
      <w:r w:rsidR="00364589" w:rsidRPr="00D16B79">
        <w:rPr>
          <w:rFonts w:ascii="Times New Roman" w:eastAsia="Times New Roman" w:hAnsi="Times New Roman"/>
          <w:bCs/>
          <w:lang w:val="en-US" w:eastAsia="en-US"/>
        </w:rPr>
        <w:t xml:space="preserve"> time unit</w:t>
      </w:r>
      <w:r w:rsidR="00395C61" w:rsidRPr="00D16B79">
        <w:rPr>
          <w:rFonts w:ascii="Times New Roman" w:eastAsia="Times New Roman" w:hAnsi="Times New Roman"/>
          <w:bCs/>
          <w:lang w:val="en-US" w:eastAsia="en-US"/>
        </w:rPr>
        <w:t>, described below</w:t>
      </w:r>
      <w:r w:rsidR="00DF447F" w:rsidRPr="00D16B79">
        <w:rPr>
          <w:rFonts w:ascii="Times New Roman" w:eastAsia="Times New Roman" w:hAnsi="Times New Roman"/>
          <w:lang w:val="en-US" w:eastAsia="en-US"/>
        </w:rPr>
        <w:t>)</w:t>
      </w:r>
      <w:r w:rsidR="003A77D9" w:rsidRPr="00D16B79">
        <w:rPr>
          <w:rFonts w:ascii="Times New Roman" w:eastAsia="Times New Roman" w:hAnsi="Times New Roman"/>
          <w:lang w:val="en-US" w:eastAsia="en-US"/>
        </w:rPr>
        <w:t>. This</w:t>
      </w:r>
      <w:r w:rsidR="00C71439" w:rsidRPr="00D16B79">
        <w:rPr>
          <w:rFonts w:ascii="Times New Roman" w:eastAsia="Times New Roman" w:hAnsi="Times New Roman"/>
          <w:lang w:val="en-US" w:eastAsia="en-US"/>
        </w:rPr>
        <w:t xml:space="preserve"> </w:t>
      </w:r>
      <w:r w:rsidR="003A77D9" w:rsidRPr="00D16B79">
        <w:rPr>
          <w:rFonts w:ascii="Times New Roman" w:eastAsia="Times New Roman" w:hAnsi="Times New Roman"/>
          <w:lang w:val="en-US" w:eastAsia="en-US"/>
        </w:rPr>
        <w:t xml:space="preserve">term controls for </w:t>
      </w:r>
      <w:r w:rsidR="008F66EF" w:rsidRPr="00D16B79">
        <w:rPr>
          <w:rFonts w:ascii="Times New Roman" w:eastAsia="Times New Roman" w:hAnsi="Times New Roman"/>
          <w:lang w:val="en-US" w:eastAsia="en-US"/>
        </w:rPr>
        <w:t xml:space="preserve">any </w:t>
      </w:r>
      <w:r w:rsidR="00395C61" w:rsidRPr="00D16B79">
        <w:rPr>
          <w:rFonts w:ascii="Times New Roman" w:eastAsia="Times New Roman" w:hAnsi="Times New Roman"/>
          <w:lang w:val="en-US" w:eastAsia="en-US"/>
        </w:rPr>
        <w:t xml:space="preserve">unobserved </w:t>
      </w:r>
      <w:r w:rsidR="003A77D9" w:rsidRPr="00D16B79">
        <w:rPr>
          <w:rFonts w:ascii="Times New Roman" w:eastAsia="Times New Roman" w:hAnsi="Times New Roman"/>
          <w:lang w:val="en-US" w:eastAsia="en-US"/>
        </w:rPr>
        <w:t>project-level factors</w:t>
      </w:r>
      <w:r w:rsidR="00395C61" w:rsidRPr="00D16B79">
        <w:rPr>
          <w:rFonts w:ascii="Times New Roman" w:eastAsia="Times New Roman" w:hAnsi="Times New Roman"/>
          <w:lang w:val="en-US" w:eastAsia="en-US"/>
        </w:rPr>
        <w:t xml:space="preserve"> that vary over time</w:t>
      </w:r>
      <w:r w:rsidR="003A77D9" w:rsidRPr="00D16B79">
        <w:rPr>
          <w:rFonts w:ascii="Times New Roman" w:eastAsia="Times New Roman" w:hAnsi="Times New Roman"/>
          <w:lang w:val="en-US" w:eastAsia="en-US"/>
        </w:rPr>
        <w:t xml:space="preserve">, for example, </w:t>
      </w:r>
      <w:r w:rsidR="00364589" w:rsidRPr="00D16B79">
        <w:rPr>
          <w:rFonts w:ascii="Times New Roman" w:eastAsia="Times New Roman" w:hAnsi="Times New Roman"/>
          <w:lang w:val="en-US" w:eastAsia="en-US"/>
        </w:rPr>
        <w:t>a</w:t>
      </w:r>
      <w:r w:rsidR="003A77D9" w:rsidRPr="00D16B79">
        <w:rPr>
          <w:rFonts w:ascii="Times New Roman" w:eastAsia="Times New Roman" w:hAnsi="Times New Roman"/>
          <w:lang w:val="en-US" w:eastAsia="en-US"/>
        </w:rPr>
        <w:t xml:space="preserve"> </w:t>
      </w:r>
      <w:r w:rsidR="00545FA7" w:rsidRPr="00D16B79">
        <w:rPr>
          <w:rFonts w:ascii="Times New Roman" w:eastAsia="Times New Roman" w:hAnsi="Times New Roman"/>
          <w:lang w:val="en-US" w:eastAsia="en-US"/>
        </w:rPr>
        <w:t>borrower</w:t>
      </w:r>
      <w:r w:rsidR="003A77D9" w:rsidRPr="00D16B79">
        <w:rPr>
          <w:rFonts w:ascii="Times New Roman" w:eastAsia="Times New Roman" w:hAnsi="Times New Roman"/>
          <w:lang w:val="en-US" w:eastAsia="en-US"/>
        </w:rPr>
        <w:t xml:space="preserve">’s </w:t>
      </w:r>
      <w:r w:rsidR="00545FA7" w:rsidRPr="00D16B79">
        <w:rPr>
          <w:rFonts w:ascii="Times New Roman" w:eastAsia="Times New Roman" w:hAnsi="Times New Roman"/>
          <w:lang w:val="en-US" w:eastAsia="en-US"/>
        </w:rPr>
        <w:t xml:space="preserve">personal </w:t>
      </w:r>
      <w:r w:rsidR="003A77D9" w:rsidRPr="00D16B79">
        <w:rPr>
          <w:rFonts w:ascii="Times New Roman" w:eastAsia="Times New Roman" w:hAnsi="Times New Roman"/>
          <w:lang w:val="en-US" w:eastAsia="en-US"/>
        </w:rPr>
        <w:t xml:space="preserve">advertisement to their friends </w:t>
      </w:r>
      <w:r w:rsidR="008F66EF" w:rsidRPr="00D16B79">
        <w:rPr>
          <w:rFonts w:ascii="Times New Roman" w:eastAsia="Times New Roman" w:hAnsi="Times New Roman"/>
          <w:lang w:val="en-US" w:eastAsia="en-US"/>
        </w:rPr>
        <w:t>and</w:t>
      </w:r>
      <w:r w:rsidR="003A77D9" w:rsidRPr="00D16B79">
        <w:rPr>
          <w:rFonts w:ascii="Times New Roman" w:eastAsia="Times New Roman" w:hAnsi="Times New Roman"/>
          <w:lang w:val="en-US" w:eastAsia="en-US"/>
        </w:rPr>
        <w:t xml:space="preserve"> acquaintances</w:t>
      </w:r>
      <w:r w:rsidR="008F66EF" w:rsidRPr="00D16B79">
        <w:rPr>
          <w:rFonts w:ascii="Times New Roman" w:eastAsia="Times New Roman" w:hAnsi="Times New Roman"/>
          <w:lang w:val="en-US" w:eastAsia="en-US"/>
        </w:rPr>
        <w:t>,</w:t>
      </w:r>
      <w:r w:rsidR="003A77D9" w:rsidRPr="00D16B79">
        <w:rPr>
          <w:rFonts w:ascii="Times New Roman" w:eastAsia="Times New Roman" w:hAnsi="Times New Roman"/>
          <w:lang w:val="en-US" w:eastAsia="en-US"/>
        </w:rPr>
        <w:t xml:space="preserve"> or Kiva’s </w:t>
      </w:r>
      <w:r w:rsidR="00395C61" w:rsidRPr="00D16B79">
        <w:rPr>
          <w:rFonts w:ascii="Times New Roman" w:eastAsia="Times New Roman" w:hAnsi="Times New Roman"/>
          <w:lang w:val="en-US" w:eastAsia="en-US"/>
        </w:rPr>
        <w:t xml:space="preserve">limited-time </w:t>
      </w:r>
      <w:r w:rsidR="003A77D9" w:rsidRPr="00D16B79">
        <w:rPr>
          <w:rFonts w:ascii="Times New Roman" w:eastAsia="Times New Roman" w:hAnsi="Times New Roman"/>
          <w:lang w:val="en-US" w:eastAsia="en-US"/>
        </w:rPr>
        <w:t>promotion</w:t>
      </w:r>
      <w:r w:rsidR="00364589" w:rsidRPr="00D16B79">
        <w:rPr>
          <w:rFonts w:ascii="Times New Roman" w:eastAsia="Times New Roman" w:hAnsi="Times New Roman"/>
          <w:lang w:val="en-US" w:eastAsia="en-US"/>
        </w:rPr>
        <w:t xml:space="preserve"> of a project</w:t>
      </w:r>
      <w:r w:rsidR="003A77D9" w:rsidRPr="00D16B79">
        <w:rPr>
          <w:rFonts w:ascii="Times New Roman" w:eastAsia="Times New Roman" w:hAnsi="Times New Roman"/>
          <w:lang w:val="en-US" w:eastAsia="en-US"/>
        </w:rPr>
        <w:t xml:space="preserve"> (e.g., display of a project on the front page</w:t>
      </w:r>
      <w:r w:rsidR="005A01EF" w:rsidRPr="00D16B79">
        <w:rPr>
          <w:rFonts w:ascii="Times New Roman" w:eastAsia="Times New Roman" w:hAnsi="Times New Roman"/>
          <w:lang w:val="en-US" w:eastAsia="en-US"/>
        </w:rPr>
        <w:t xml:space="preserve"> due to its urgency</w:t>
      </w:r>
      <w:r w:rsidR="003A77D9" w:rsidRPr="00D16B79">
        <w:rPr>
          <w:rFonts w:ascii="Times New Roman" w:eastAsia="Times New Roman" w:hAnsi="Times New Roman"/>
          <w:lang w:val="en-US" w:eastAsia="en-US"/>
        </w:rPr>
        <w:t>)</w:t>
      </w:r>
      <w:r w:rsidR="00364589" w:rsidRPr="00D16B79">
        <w:rPr>
          <w:rFonts w:ascii="Times New Roman" w:eastAsia="Times New Roman" w:hAnsi="Times New Roman"/>
          <w:lang w:val="en-US" w:eastAsia="en-US"/>
        </w:rPr>
        <w:t xml:space="preserve">. Since we </w:t>
      </w:r>
      <w:r w:rsidR="00395C61" w:rsidRPr="00D16B79">
        <w:rPr>
          <w:rFonts w:ascii="Times New Roman" w:eastAsia="Times New Roman" w:hAnsi="Times New Roman"/>
          <w:lang w:val="en-US" w:eastAsia="en-US"/>
        </w:rPr>
        <w:t xml:space="preserve">could </w:t>
      </w:r>
      <w:r w:rsidR="00364589" w:rsidRPr="00D16B79">
        <w:rPr>
          <w:rFonts w:ascii="Times New Roman" w:eastAsia="Times New Roman" w:hAnsi="Times New Roman"/>
          <w:lang w:val="en-US" w:eastAsia="en-US"/>
        </w:rPr>
        <w:t xml:space="preserve">not </w:t>
      </w:r>
      <w:r w:rsidR="000D3CBF" w:rsidRPr="00D16B79">
        <w:rPr>
          <w:rFonts w:ascii="Times New Roman" w:eastAsia="Times New Roman" w:hAnsi="Times New Roman"/>
          <w:lang w:val="en-US" w:eastAsia="en-US"/>
        </w:rPr>
        <w:t>directly</w:t>
      </w:r>
      <w:r w:rsidR="00395C61" w:rsidRPr="00D16B79">
        <w:rPr>
          <w:rFonts w:ascii="Times New Roman" w:eastAsia="Times New Roman" w:hAnsi="Times New Roman"/>
          <w:lang w:val="en-US" w:eastAsia="en-US"/>
        </w:rPr>
        <w:t xml:space="preserve"> observe</w:t>
      </w:r>
      <w:r w:rsidR="000D3CBF" w:rsidRPr="00D16B79">
        <w:rPr>
          <w:rFonts w:ascii="Times New Roman" w:eastAsia="Times New Roman" w:hAnsi="Times New Roman"/>
          <w:lang w:val="en-US" w:eastAsia="en-US"/>
        </w:rPr>
        <w:t xml:space="preserve"> </w:t>
      </w:r>
      <w:r w:rsidR="008509DD" w:rsidRPr="00D16B79">
        <w:rPr>
          <w:rFonts w:ascii="Times New Roman" w:eastAsia="Times New Roman" w:hAnsi="Times New Roman"/>
          <w:lang w:val="en-US" w:eastAsia="en-US"/>
        </w:rPr>
        <w:t>borrowers’</w:t>
      </w:r>
      <w:r w:rsidR="00364589" w:rsidRPr="00D16B79">
        <w:rPr>
          <w:rFonts w:ascii="Times New Roman" w:eastAsia="Times New Roman" w:hAnsi="Times New Roman"/>
          <w:lang w:val="en-US" w:eastAsia="en-US"/>
        </w:rPr>
        <w:t xml:space="preserve"> </w:t>
      </w:r>
      <w:r w:rsidR="0024548C" w:rsidRPr="00D16B79">
        <w:rPr>
          <w:rFonts w:ascii="Times New Roman" w:eastAsia="Times New Roman" w:hAnsi="Times New Roman"/>
          <w:lang w:val="en-US" w:eastAsia="en-US"/>
        </w:rPr>
        <w:t>behavior,</w:t>
      </w:r>
      <w:r w:rsidR="00395C61" w:rsidRPr="00D16B79">
        <w:rPr>
          <w:rFonts w:ascii="Times New Roman" w:eastAsia="Times New Roman" w:hAnsi="Times New Roman"/>
          <w:lang w:val="en-US" w:eastAsia="en-US"/>
        </w:rPr>
        <w:t xml:space="preserve"> nor </w:t>
      </w:r>
      <w:r w:rsidR="00364589" w:rsidRPr="00D16B79">
        <w:rPr>
          <w:rFonts w:ascii="Times New Roman" w:eastAsia="Times New Roman" w:hAnsi="Times New Roman"/>
          <w:lang w:val="en-US" w:eastAsia="en-US"/>
        </w:rPr>
        <w:t>the platform</w:t>
      </w:r>
      <w:r w:rsidR="008509DD" w:rsidRPr="00D16B79">
        <w:rPr>
          <w:rFonts w:ascii="Times New Roman" w:eastAsia="Times New Roman" w:hAnsi="Times New Roman"/>
          <w:lang w:val="en-US" w:eastAsia="en-US"/>
        </w:rPr>
        <w:t>’</w:t>
      </w:r>
      <w:r w:rsidR="00AB7A11" w:rsidRPr="00D16B79">
        <w:rPr>
          <w:rFonts w:ascii="Times New Roman" w:eastAsia="Times New Roman" w:hAnsi="Times New Roman"/>
          <w:lang w:val="en-US" w:eastAsia="en-US"/>
        </w:rPr>
        <w:t>s</w:t>
      </w:r>
      <w:r w:rsidR="008509DD" w:rsidRPr="00D16B79">
        <w:rPr>
          <w:rFonts w:ascii="Times New Roman" w:eastAsia="Times New Roman" w:hAnsi="Times New Roman"/>
          <w:lang w:val="en-US" w:eastAsia="en-US"/>
        </w:rPr>
        <w:t xml:space="preserve"> </w:t>
      </w:r>
      <w:r w:rsidR="00395C61" w:rsidRPr="00D16B79">
        <w:rPr>
          <w:rFonts w:ascii="Times New Roman" w:eastAsia="Times New Roman" w:hAnsi="Times New Roman"/>
          <w:lang w:val="en-US" w:eastAsia="en-US"/>
        </w:rPr>
        <w:t>behavior</w:t>
      </w:r>
      <w:r w:rsidR="00364589" w:rsidRPr="00D16B79">
        <w:rPr>
          <w:rFonts w:ascii="Times New Roman" w:eastAsia="Times New Roman" w:hAnsi="Times New Roman"/>
          <w:lang w:val="en-US" w:eastAsia="en-US"/>
        </w:rPr>
        <w:t xml:space="preserve">, it </w:t>
      </w:r>
      <w:r w:rsidR="00395C61" w:rsidRPr="00D16B79">
        <w:rPr>
          <w:rFonts w:ascii="Times New Roman" w:eastAsia="Times New Roman" w:hAnsi="Times New Roman"/>
          <w:lang w:val="en-US" w:eastAsia="en-US"/>
        </w:rPr>
        <w:t xml:space="preserve">was </w:t>
      </w:r>
      <w:r w:rsidR="00364589" w:rsidRPr="00D16B79">
        <w:rPr>
          <w:rFonts w:ascii="Times New Roman" w:eastAsia="Times New Roman" w:hAnsi="Times New Roman"/>
          <w:lang w:val="en-US" w:eastAsia="en-US"/>
        </w:rPr>
        <w:t xml:space="preserve">crucial to </w:t>
      </w:r>
      <w:r w:rsidR="000D3CBF" w:rsidRPr="00D16B79">
        <w:rPr>
          <w:rFonts w:ascii="Times New Roman" w:eastAsia="Times New Roman" w:hAnsi="Times New Roman"/>
          <w:lang w:val="en-US" w:eastAsia="en-US"/>
        </w:rPr>
        <w:t>have</w:t>
      </w:r>
      <w:r w:rsidR="00364589" w:rsidRPr="00D16B79">
        <w:rPr>
          <w:rFonts w:ascii="Times New Roman" w:eastAsia="Times New Roman" w:hAnsi="Times New Roman"/>
          <w:lang w:val="en-US" w:eastAsia="en-US"/>
        </w:rPr>
        <w:t xml:space="preserve"> this</w:t>
      </w:r>
      <w:r w:rsidR="000D3CBF" w:rsidRPr="00D16B79">
        <w:rPr>
          <w:rFonts w:ascii="Times New Roman" w:eastAsia="Times New Roman" w:hAnsi="Times New Roman"/>
          <w:lang w:val="en-US" w:eastAsia="en-US"/>
        </w:rPr>
        <w:t xml:space="preserve"> </w:t>
      </w:r>
      <w:r w:rsidR="00364589" w:rsidRPr="00D16B79">
        <w:rPr>
          <w:rFonts w:ascii="Times New Roman" w:eastAsia="Times New Roman" w:hAnsi="Times New Roman"/>
          <w:lang w:val="en-US" w:eastAsia="en-US"/>
        </w:rPr>
        <w:t>fixed</w:t>
      </w:r>
      <w:r w:rsidR="00AB7A11" w:rsidRPr="00D16B79">
        <w:rPr>
          <w:rFonts w:ascii="Times New Roman" w:eastAsia="Times New Roman" w:hAnsi="Times New Roman"/>
          <w:lang w:val="en-US" w:eastAsia="en-US"/>
        </w:rPr>
        <w:t>-</w:t>
      </w:r>
      <w:r w:rsidR="00364589" w:rsidRPr="00D16B79">
        <w:rPr>
          <w:rFonts w:ascii="Times New Roman" w:eastAsia="Times New Roman" w:hAnsi="Times New Roman"/>
          <w:lang w:val="en-US" w:eastAsia="en-US"/>
        </w:rPr>
        <w:t xml:space="preserve">effect term </w:t>
      </w:r>
      <w:r w:rsidR="00395C61" w:rsidRPr="00D16B79">
        <w:rPr>
          <w:rFonts w:ascii="Times New Roman" w:eastAsia="Times New Roman" w:hAnsi="Times New Roman"/>
          <w:lang w:val="en-US" w:eastAsia="en-US"/>
        </w:rPr>
        <w:t>to</w:t>
      </w:r>
      <w:r w:rsidR="00364589" w:rsidRPr="00D16B79">
        <w:rPr>
          <w:rFonts w:ascii="Times New Roman" w:eastAsia="Times New Roman" w:hAnsi="Times New Roman"/>
          <w:lang w:val="en-US" w:eastAsia="en-US"/>
        </w:rPr>
        <w:t xml:space="preserve"> </w:t>
      </w:r>
      <w:r w:rsidR="00081A42" w:rsidRPr="00D16B79">
        <w:rPr>
          <w:rFonts w:ascii="Times New Roman" w:eastAsia="Times New Roman" w:hAnsi="Times New Roman"/>
          <w:lang w:val="en-US" w:eastAsia="en-US"/>
        </w:rPr>
        <w:t>address</w:t>
      </w:r>
      <w:r w:rsidR="00364589" w:rsidRPr="00D16B79">
        <w:rPr>
          <w:rFonts w:ascii="Times New Roman" w:eastAsia="Times New Roman" w:hAnsi="Times New Roman"/>
          <w:lang w:val="en-US" w:eastAsia="en-US"/>
        </w:rPr>
        <w:t xml:space="preserve"> </w:t>
      </w:r>
      <w:r w:rsidR="00395C61" w:rsidRPr="00D16B79">
        <w:rPr>
          <w:rFonts w:ascii="Times New Roman" w:eastAsia="Times New Roman" w:hAnsi="Times New Roman"/>
          <w:lang w:val="en-US" w:eastAsia="en-US"/>
        </w:rPr>
        <w:t>these factors</w:t>
      </w:r>
      <w:r w:rsidR="00364589" w:rsidRPr="00D16B79">
        <w:rPr>
          <w:rFonts w:ascii="Times New Roman" w:eastAsia="Times New Roman" w:hAnsi="Times New Roman"/>
          <w:lang w:val="en-US" w:eastAsia="en-US"/>
        </w:rPr>
        <w:t xml:space="preserve">. </w:t>
      </w:r>
      <w:r w:rsidR="00937E41" w:rsidRPr="00D16B79">
        <w:rPr>
          <w:rFonts w:ascii="Times New Roman" w:eastAsia="Times New Roman" w:hAnsi="Times New Roman"/>
          <w:lang w:val="en-US" w:eastAsia="en-US"/>
        </w:rPr>
        <w:t xml:space="preserve">(Note: </w:t>
      </w:r>
      <w:r w:rsidR="00937E41" w:rsidRPr="00D16B79">
        <w:rPr>
          <w:rFonts w:ascii="Times New Roman" w:eastAsia="Times New Roman" w:hAnsi="Times New Roman"/>
          <w:bCs/>
          <w:lang w:val="en-US" w:eastAsia="en-US"/>
        </w:rPr>
        <w:t>τ</w:t>
      </w:r>
      <w:r w:rsidR="00937E41" w:rsidRPr="00D16B79" w:rsidDel="00937E41">
        <w:rPr>
          <w:rFonts w:ascii="Times New Roman" w:eastAsia="Times New Roman" w:hAnsi="Times New Roman"/>
          <w:lang w:val="en-US" w:eastAsia="en-US"/>
        </w:rPr>
        <w:t xml:space="preserve"> </w:t>
      </w:r>
      <w:r w:rsidR="00937E41" w:rsidRPr="00D16B79">
        <w:rPr>
          <w:rFonts w:ascii="Times New Roman" w:eastAsia="Times New Roman" w:hAnsi="Times New Roman"/>
          <w:lang w:val="en-US" w:eastAsia="en-US"/>
        </w:rPr>
        <w:t>is</w:t>
      </w:r>
      <w:r w:rsidR="00214B8B" w:rsidRPr="00D16B79">
        <w:rPr>
          <w:rFonts w:ascii="Times New Roman" w:eastAsia="Times New Roman" w:hAnsi="Times New Roman"/>
          <w:lang w:val="en-US" w:eastAsia="en-US"/>
        </w:rPr>
        <w:t xml:space="preserve"> </w:t>
      </w:r>
      <w:r w:rsidR="00937E41" w:rsidRPr="00D16B79">
        <w:rPr>
          <w:rFonts w:ascii="Times New Roman" w:eastAsia="Times New Roman" w:hAnsi="Times New Roman"/>
          <w:lang w:val="en-US" w:eastAsia="en-US"/>
        </w:rPr>
        <w:t xml:space="preserve">the </w:t>
      </w:r>
      <w:r w:rsidR="00364589" w:rsidRPr="00D16B79">
        <w:rPr>
          <w:rFonts w:ascii="Times New Roman" w:eastAsia="Times New Roman" w:hAnsi="Times New Roman"/>
          <w:lang w:val="en-US" w:eastAsia="en-US"/>
        </w:rPr>
        <w:t xml:space="preserve">aggregated </w:t>
      </w:r>
      <w:r w:rsidR="00937E41" w:rsidRPr="00D16B79">
        <w:rPr>
          <w:rFonts w:ascii="Times New Roman" w:eastAsia="Times New Roman" w:hAnsi="Times New Roman"/>
          <w:lang w:val="en-US" w:eastAsia="en-US"/>
        </w:rPr>
        <w:t>4-</w:t>
      </w:r>
      <w:r w:rsidR="00214B8B" w:rsidRPr="00D16B79">
        <w:rPr>
          <w:rFonts w:ascii="Times New Roman" w:eastAsia="Times New Roman" w:hAnsi="Times New Roman"/>
          <w:lang w:val="en-US" w:eastAsia="en-US"/>
        </w:rPr>
        <w:t xml:space="preserve">hour </w:t>
      </w:r>
      <w:r w:rsidR="00364589" w:rsidRPr="00D16B79">
        <w:rPr>
          <w:rFonts w:ascii="Times New Roman" w:eastAsia="Times New Roman" w:hAnsi="Times New Roman"/>
          <w:lang w:val="en-US" w:eastAsia="en-US"/>
        </w:rPr>
        <w:t xml:space="preserve">time unit </w:t>
      </w:r>
      <w:r w:rsidR="00FA5369" w:rsidRPr="00D16B79">
        <w:rPr>
          <w:rFonts w:ascii="Times New Roman" w:eastAsia="Times New Roman" w:hAnsi="Times New Roman"/>
          <w:lang w:val="en-US" w:eastAsia="en-US"/>
        </w:rPr>
        <w:t>[</w:t>
      </w:r>
      <w:r w:rsidR="00C820F5" w:rsidRPr="00D16B79">
        <w:rPr>
          <w:rFonts w:ascii="Times New Roman" w:eastAsia="Times New Roman" w:hAnsi="Times New Roman"/>
          <w:lang w:val="en-US" w:eastAsia="en-US"/>
        </w:rPr>
        <w:t>i.e., date-hour</w:t>
      </w:r>
      <w:r w:rsidR="00FA5369" w:rsidRPr="00D16B79">
        <w:rPr>
          <w:rFonts w:ascii="Times New Roman" w:eastAsia="Times New Roman" w:hAnsi="Times New Roman"/>
          <w:lang w:val="en-US" w:eastAsia="en-US"/>
        </w:rPr>
        <w:t xml:space="preserve">] </w:t>
      </w:r>
      <w:r w:rsidR="00937E41" w:rsidRPr="00D16B79">
        <w:rPr>
          <w:rFonts w:ascii="Times New Roman" w:eastAsia="Times New Roman" w:hAnsi="Times New Roman"/>
          <w:lang w:val="en-US" w:eastAsia="en-US"/>
        </w:rPr>
        <w:t>used</w:t>
      </w:r>
      <w:r w:rsidR="00214B8B" w:rsidRPr="00D16B79">
        <w:rPr>
          <w:rFonts w:ascii="Times New Roman" w:eastAsia="Times New Roman" w:hAnsi="Times New Roman"/>
          <w:lang w:val="en-US" w:eastAsia="en-US"/>
        </w:rPr>
        <w:t xml:space="preserve"> </w:t>
      </w:r>
      <w:r w:rsidR="00937E41" w:rsidRPr="00D16B79">
        <w:rPr>
          <w:rFonts w:ascii="Times New Roman" w:eastAsia="Times New Roman" w:hAnsi="Times New Roman"/>
          <w:lang w:val="en-US" w:eastAsia="en-US"/>
        </w:rPr>
        <w:t xml:space="preserve">in </w:t>
      </w:r>
      <w:r w:rsidR="00214B8B" w:rsidRPr="00D16B79">
        <w:rPr>
          <w:rFonts w:ascii="Times New Roman" w:eastAsia="Times New Roman" w:hAnsi="Times New Roman"/>
          <w:lang w:val="en-US" w:eastAsia="en-US"/>
        </w:rPr>
        <w:t>project</w:t>
      </w:r>
      <w:r w:rsidR="00937E41" w:rsidRPr="00D16B79">
        <w:rPr>
          <w:rFonts w:ascii="Times New Roman" w:eastAsia="Times New Roman" w:hAnsi="Times New Roman"/>
          <w:lang w:val="en-US" w:eastAsia="en-US"/>
        </w:rPr>
        <w:t xml:space="preserve"> and time</w:t>
      </w:r>
      <w:r w:rsidR="00081A42" w:rsidRPr="00D16B79">
        <w:rPr>
          <w:rFonts w:ascii="Times New Roman" w:eastAsia="Times New Roman" w:hAnsi="Times New Roman"/>
          <w:lang w:val="en-US" w:eastAsia="en-US"/>
        </w:rPr>
        <w:t>-</w:t>
      </w:r>
      <w:r w:rsidR="00214B8B" w:rsidRPr="00D16B79">
        <w:rPr>
          <w:rFonts w:ascii="Times New Roman" w:eastAsia="Times New Roman" w:hAnsi="Times New Roman"/>
          <w:lang w:val="en-US" w:eastAsia="en-US"/>
        </w:rPr>
        <w:t>interacted fixed</w:t>
      </w:r>
      <w:r w:rsidR="00AB7A11" w:rsidRPr="00D16B79">
        <w:rPr>
          <w:rFonts w:ascii="Times New Roman" w:eastAsia="Times New Roman" w:hAnsi="Times New Roman"/>
          <w:lang w:val="en-US" w:eastAsia="en-US"/>
        </w:rPr>
        <w:t xml:space="preserve"> </w:t>
      </w:r>
      <w:r w:rsidR="00214B8B" w:rsidRPr="00D16B79">
        <w:rPr>
          <w:rFonts w:ascii="Times New Roman" w:eastAsia="Times New Roman" w:hAnsi="Times New Roman"/>
          <w:lang w:val="en-US" w:eastAsia="en-US"/>
        </w:rPr>
        <w:t>effect</w:t>
      </w:r>
      <w:r w:rsidR="00937E41" w:rsidRPr="00D16B79">
        <w:rPr>
          <w:rFonts w:ascii="Times New Roman" w:eastAsia="Times New Roman" w:hAnsi="Times New Roman"/>
          <w:lang w:val="en-US" w:eastAsia="en-US"/>
        </w:rPr>
        <w:t xml:space="preserve">s. We used </w:t>
      </w:r>
      <w:r w:rsidR="00937E41" w:rsidRPr="00D16B79">
        <w:rPr>
          <w:rFonts w:ascii="Times New Roman" w:eastAsia="Times New Roman" w:hAnsi="Times New Roman"/>
          <w:bCs/>
          <w:lang w:val="en-US" w:eastAsia="en-US"/>
        </w:rPr>
        <w:t>τ</w:t>
      </w:r>
      <w:r w:rsidR="00937E41" w:rsidRPr="00D16B79" w:rsidDel="00937E41">
        <w:rPr>
          <w:rFonts w:ascii="Times New Roman" w:eastAsia="Times New Roman" w:hAnsi="Times New Roman"/>
          <w:lang w:val="en-US" w:eastAsia="en-US"/>
        </w:rPr>
        <w:t xml:space="preserve"> </w:t>
      </w:r>
      <w:r w:rsidR="00937E41" w:rsidRPr="00D16B79">
        <w:rPr>
          <w:rFonts w:ascii="Times New Roman" w:eastAsia="Times New Roman" w:hAnsi="Times New Roman"/>
          <w:lang w:val="en-US" w:eastAsia="en-US"/>
        </w:rPr>
        <w:t xml:space="preserve">because </w:t>
      </w:r>
      <w:r w:rsidR="00364589" w:rsidRPr="00D16B79">
        <w:rPr>
          <w:rFonts w:ascii="Times New Roman" w:eastAsia="Times New Roman" w:hAnsi="Times New Roman"/>
          <w:lang w:val="en-US" w:eastAsia="en-US"/>
        </w:rPr>
        <w:t xml:space="preserve">the time unit </w:t>
      </w:r>
      <w:r w:rsidR="00937E41" w:rsidRPr="00D16B79">
        <w:rPr>
          <w:rFonts w:ascii="Times New Roman" w:eastAsia="Times New Roman" w:hAnsi="Times New Roman"/>
          <w:i/>
          <w:lang w:val="en-US" w:eastAsia="en-US"/>
        </w:rPr>
        <w:t>t</w:t>
      </w:r>
      <w:r w:rsidR="00937E41" w:rsidRPr="00D16B79">
        <w:rPr>
          <w:rFonts w:ascii="Times New Roman" w:eastAsia="Times New Roman" w:hAnsi="Times New Roman"/>
          <w:lang w:val="en-US" w:eastAsia="en-US"/>
        </w:rPr>
        <w:t xml:space="preserve"> </w:t>
      </w:r>
      <w:r w:rsidR="00364589" w:rsidRPr="00D16B79">
        <w:rPr>
          <w:rFonts w:ascii="Times New Roman" w:eastAsia="Times New Roman" w:hAnsi="Times New Roman"/>
          <w:lang w:val="en-US" w:eastAsia="en-US"/>
        </w:rPr>
        <w:t xml:space="preserve">of the analysis is </w:t>
      </w:r>
      <w:r w:rsidR="008F0295" w:rsidRPr="00D16B79">
        <w:rPr>
          <w:rFonts w:ascii="Times New Roman" w:eastAsia="Times New Roman" w:hAnsi="Times New Roman"/>
          <w:lang w:val="en-US" w:eastAsia="en-US"/>
        </w:rPr>
        <w:t xml:space="preserve">at </w:t>
      </w:r>
      <w:r w:rsidR="00364589" w:rsidRPr="00D16B79">
        <w:rPr>
          <w:rFonts w:ascii="Times New Roman" w:eastAsia="Times New Roman" w:hAnsi="Times New Roman"/>
          <w:lang w:val="en-US" w:eastAsia="en-US"/>
        </w:rPr>
        <w:t>10</w:t>
      </w:r>
      <w:r w:rsidR="00AB7A11" w:rsidRPr="00D16B79">
        <w:rPr>
          <w:rFonts w:ascii="Times New Roman" w:eastAsia="Times New Roman" w:hAnsi="Times New Roman"/>
          <w:lang w:val="en-US" w:eastAsia="en-US"/>
        </w:rPr>
        <w:t xml:space="preserve"> </w:t>
      </w:r>
      <w:r w:rsidR="00364589" w:rsidRPr="00D16B79">
        <w:rPr>
          <w:rFonts w:ascii="Times New Roman" w:eastAsia="Times New Roman" w:hAnsi="Times New Roman"/>
          <w:lang w:val="en-US" w:eastAsia="en-US"/>
        </w:rPr>
        <w:t>minute</w:t>
      </w:r>
      <w:r w:rsidR="00AB7A11" w:rsidRPr="00D16B79">
        <w:rPr>
          <w:rFonts w:ascii="Times New Roman" w:eastAsia="Times New Roman" w:hAnsi="Times New Roman"/>
          <w:lang w:val="en-US" w:eastAsia="en-US"/>
        </w:rPr>
        <w:t>s</w:t>
      </w:r>
      <w:r w:rsidR="00764464" w:rsidRPr="00D16B79">
        <w:rPr>
          <w:rFonts w:ascii="Times New Roman" w:eastAsia="Times New Roman" w:hAnsi="Times New Roman"/>
          <w:lang w:val="en-US" w:eastAsia="en-US"/>
        </w:rPr>
        <w:t xml:space="preserve">, </w:t>
      </w:r>
      <w:r w:rsidR="00AB7A11" w:rsidRPr="00D16B79">
        <w:rPr>
          <w:rFonts w:ascii="Times New Roman" w:eastAsia="Times New Roman" w:hAnsi="Times New Roman"/>
          <w:lang w:val="en-US" w:eastAsia="en-US"/>
        </w:rPr>
        <w:t xml:space="preserve">and </w:t>
      </w:r>
      <w:r w:rsidR="000848D5" w:rsidRPr="00D16B79">
        <w:rPr>
          <w:rFonts w:ascii="Times New Roman" w:eastAsia="Times New Roman" w:hAnsi="Times New Roman"/>
          <w:lang w:val="en-US" w:eastAsia="en-US"/>
        </w:rPr>
        <w:t xml:space="preserve">it </w:t>
      </w:r>
      <w:r w:rsidR="00764464" w:rsidRPr="00D16B79">
        <w:rPr>
          <w:rFonts w:ascii="Times New Roman" w:eastAsia="Times New Roman" w:hAnsi="Times New Roman"/>
          <w:lang w:val="en-US" w:eastAsia="en-US"/>
        </w:rPr>
        <w:t xml:space="preserve">cannot simply </w:t>
      </w:r>
      <w:r w:rsidR="00214B8B" w:rsidRPr="00D16B79">
        <w:rPr>
          <w:rFonts w:ascii="Times New Roman" w:eastAsia="Times New Roman" w:hAnsi="Times New Roman"/>
          <w:lang w:val="en-US" w:eastAsia="en-US"/>
        </w:rPr>
        <w:t xml:space="preserve">be </w:t>
      </w:r>
      <w:r w:rsidR="00764464" w:rsidRPr="00D16B79">
        <w:rPr>
          <w:rFonts w:ascii="Times New Roman" w:eastAsia="Times New Roman" w:hAnsi="Times New Roman"/>
          <w:lang w:val="en-US" w:eastAsia="en-US"/>
        </w:rPr>
        <w:t>include</w:t>
      </w:r>
      <w:r w:rsidR="00214B8B" w:rsidRPr="00D16B79">
        <w:rPr>
          <w:rFonts w:ascii="Times New Roman" w:eastAsia="Times New Roman" w:hAnsi="Times New Roman"/>
          <w:lang w:val="en-US" w:eastAsia="en-US"/>
        </w:rPr>
        <w:t>d in a</w:t>
      </w:r>
      <w:r w:rsidR="00764464" w:rsidRPr="00D16B79">
        <w:rPr>
          <w:rFonts w:ascii="Times New Roman" w:eastAsia="Times New Roman" w:hAnsi="Times New Roman"/>
          <w:lang w:val="en-US" w:eastAsia="en-US"/>
        </w:rPr>
        <w:t xml:space="preserve"> project-time interacted fixed effect</w:t>
      </w:r>
      <w:r w:rsidR="00937E41" w:rsidRPr="00D16B79">
        <w:rPr>
          <w:rFonts w:ascii="Times New Roman" w:eastAsia="Times New Roman" w:hAnsi="Times New Roman"/>
          <w:lang w:val="en-US" w:eastAsia="en-US"/>
        </w:rPr>
        <w:t>. W</w:t>
      </w:r>
      <w:r w:rsidR="00937E41" w:rsidRPr="00D16B79">
        <w:rPr>
          <w:rFonts w:ascii="Times New Roman" w:eastAsia="Times New Roman" w:hAnsi="Times New Roman"/>
          <w:bCs/>
          <w:lang w:val="en-US" w:eastAsia="en-US"/>
        </w:rPr>
        <w:t xml:space="preserve">e </w:t>
      </w:r>
      <w:r w:rsidR="003E77BC" w:rsidRPr="00D16B79">
        <w:rPr>
          <w:rFonts w:ascii="Times New Roman" w:eastAsia="Times New Roman" w:hAnsi="Times New Roman"/>
          <w:bCs/>
          <w:lang w:val="en-US" w:eastAsia="en-US"/>
        </w:rPr>
        <w:lastRenderedPageBreak/>
        <w:t xml:space="preserve">conducted a robustness check by </w:t>
      </w:r>
      <w:r w:rsidR="00937E41" w:rsidRPr="00D16B79">
        <w:rPr>
          <w:rFonts w:ascii="Times New Roman" w:eastAsia="Times New Roman" w:hAnsi="Times New Roman"/>
          <w:bCs/>
          <w:lang w:val="en-US" w:eastAsia="en-US"/>
        </w:rPr>
        <w:t>changing</w:t>
      </w:r>
      <w:r w:rsidR="003E77BC" w:rsidRPr="00D16B79">
        <w:rPr>
          <w:rFonts w:ascii="Times New Roman" w:eastAsia="Times New Roman" w:hAnsi="Times New Roman"/>
          <w:bCs/>
          <w:lang w:val="en-US" w:eastAsia="en-US"/>
        </w:rPr>
        <w:t xml:space="preserve"> </w:t>
      </w:r>
      <w:r w:rsidR="00937E41" w:rsidRPr="00D16B79">
        <w:rPr>
          <w:rFonts w:ascii="Times New Roman" w:eastAsia="Times New Roman" w:hAnsi="Times New Roman"/>
          <w:bCs/>
          <w:lang w:val="en-US" w:eastAsia="en-US"/>
        </w:rPr>
        <w:t>the</w:t>
      </w:r>
      <w:r w:rsidR="00764464" w:rsidRPr="00D16B79">
        <w:rPr>
          <w:rFonts w:ascii="Times New Roman" w:eastAsia="Times New Roman" w:hAnsi="Times New Roman"/>
          <w:bCs/>
          <w:lang w:val="en-US" w:eastAsia="en-US"/>
        </w:rPr>
        <w:t xml:space="preserve"> level of the</w:t>
      </w:r>
      <w:r w:rsidR="003E77BC" w:rsidRPr="00D16B79">
        <w:rPr>
          <w:rFonts w:ascii="Times New Roman" w:eastAsia="Times New Roman" w:hAnsi="Times New Roman"/>
          <w:bCs/>
          <w:lang w:val="en-US" w:eastAsia="en-US"/>
        </w:rPr>
        <w:t xml:space="preserve"> aggregated time unit</w:t>
      </w:r>
      <w:r w:rsidR="00764464" w:rsidRPr="00D16B79">
        <w:rPr>
          <w:rFonts w:ascii="Times New Roman" w:eastAsia="Times New Roman" w:hAnsi="Times New Roman"/>
          <w:bCs/>
          <w:lang w:val="en-US" w:eastAsia="en-US"/>
        </w:rPr>
        <w:t xml:space="preserve"> </w:t>
      </w:r>
      <w:r w:rsidR="00937E41" w:rsidRPr="00D16B79">
        <w:rPr>
          <w:rFonts w:ascii="Times New Roman" w:eastAsia="Times New Roman" w:hAnsi="Times New Roman"/>
          <w:bCs/>
          <w:lang w:val="en-US" w:eastAsia="en-US"/>
        </w:rPr>
        <w:t xml:space="preserve">τ </w:t>
      </w:r>
      <w:r w:rsidR="00764464" w:rsidRPr="00D16B79">
        <w:rPr>
          <w:rFonts w:ascii="Times New Roman" w:eastAsia="Times New Roman" w:hAnsi="Times New Roman"/>
          <w:bCs/>
          <w:lang w:val="en-US" w:eastAsia="en-US"/>
        </w:rPr>
        <w:t>and</w:t>
      </w:r>
      <w:r w:rsidR="003E77BC" w:rsidRPr="00D16B79">
        <w:rPr>
          <w:rFonts w:ascii="Times New Roman" w:eastAsia="Times New Roman" w:hAnsi="Times New Roman"/>
          <w:bCs/>
          <w:lang w:val="en-US" w:eastAsia="en-US"/>
        </w:rPr>
        <w:t xml:space="preserve"> the results are consistent</w:t>
      </w:r>
      <w:r w:rsidR="007D50E2" w:rsidRPr="00D16B79">
        <w:rPr>
          <w:rFonts w:ascii="Times New Roman" w:eastAsia="Times New Roman" w:hAnsi="Times New Roman"/>
          <w:bCs/>
          <w:lang w:val="en-US" w:eastAsia="en-US"/>
        </w:rPr>
        <w:t xml:space="preserve">. </w:t>
      </w:r>
      <w:r w:rsidR="007D50E2" w:rsidRPr="00D16B79">
        <w:rPr>
          <w:lang w:val="en-US"/>
        </w:rPr>
        <w:t xml:space="preserve">See Web Appendix </w:t>
      </w:r>
      <w:r w:rsidR="00E55B58" w:rsidRPr="00D16B79">
        <w:rPr>
          <w:lang w:val="en-US"/>
        </w:rPr>
        <w:t>B</w:t>
      </w:r>
      <w:r w:rsidR="003E77BC" w:rsidRPr="00D16B79">
        <w:rPr>
          <w:rFonts w:ascii="Times New Roman" w:eastAsia="Times New Roman" w:hAnsi="Times New Roman"/>
          <w:bCs/>
          <w:lang w:val="en-US" w:eastAsia="en-US"/>
        </w:rPr>
        <w:t>)</w:t>
      </w:r>
      <w:r w:rsidR="00026F54" w:rsidRPr="00D16B79">
        <w:rPr>
          <w:rFonts w:ascii="Times New Roman" w:eastAsia="Times New Roman" w:hAnsi="Times New Roman"/>
          <w:bCs/>
          <w:lang w:val="en-US" w:eastAsia="en-US"/>
        </w:rPr>
        <w:t>.</w:t>
      </w:r>
      <w:r w:rsidR="00364589" w:rsidRPr="00D16B79">
        <w:rPr>
          <w:rFonts w:ascii="Times New Roman" w:eastAsia="Times New Roman" w:hAnsi="Times New Roman"/>
          <w:lang w:val="en-US" w:eastAsia="en-US"/>
        </w:rPr>
        <w:t xml:space="preserve"> </w:t>
      </w:r>
      <w:r w:rsidR="00FD0076" w:rsidRPr="00D16B79">
        <w:rPr>
          <w:rFonts w:ascii="Times New Roman" w:eastAsia="Times New Roman" w:hAnsi="Times New Roman"/>
          <w:lang w:val="en-US" w:eastAsia="en-US"/>
        </w:rPr>
        <w:t>Moreover, w</w:t>
      </w:r>
      <w:r w:rsidR="005D70E0" w:rsidRPr="00D16B79">
        <w:rPr>
          <w:rFonts w:ascii="Times New Roman" w:eastAsia="Times New Roman" w:hAnsi="Times New Roman"/>
          <w:lang w:val="en-US" w:eastAsia="en-US"/>
        </w:rPr>
        <w:t>e include</w:t>
      </w:r>
      <w:r w:rsidR="00675FDC" w:rsidRPr="00D16B79">
        <w:rPr>
          <w:rFonts w:ascii="Times New Roman" w:eastAsia="Times New Roman" w:hAnsi="Times New Roman"/>
          <w:lang w:val="en-US" w:eastAsia="en-US"/>
        </w:rPr>
        <w:t>d</w:t>
      </w:r>
      <w:r w:rsidR="000848D5" w:rsidRPr="00D16B79">
        <w:rPr>
          <w:rFonts w:ascii="Times New Roman" w:eastAsia="Times New Roman" w:hAnsi="Times New Roman"/>
          <w:lang w:val="en-US" w:eastAsia="en-US"/>
        </w:rPr>
        <w:t xml:space="preserve"> </w:t>
      </w:r>
      <w:r w:rsidR="00214B8B" w:rsidRPr="00D16B79">
        <w:rPr>
          <w:rFonts w:ascii="Times New Roman" w:eastAsia="Times New Roman" w:hAnsi="Times New Roman"/>
          <w:lang w:val="en-US" w:eastAsia="en-US"/>
        </w:rPr>
        <w:t>a</w:t>
      </w:r>
      <w:r w:rsidR="00E068CA" w:rsidRPr="00D16B79">
        <w:rPr>
          <w:rFonts w:ascii="Times New Roman" w:eastAsia="Times New Roman" w:hAnsi="Times New Roman"/>
          <w:lang w:val="en-US" w:eastAsia="en-US"/>
        </w:rPr>
        <w:t xml:space="preserve"> second fixed</w:t>
      </w:r>
      <w:r w:rsidR="00AB7A11" w:rsidRPr="00D16B79">
        <w:rPr>
          <w:rFonts w:ascii="Times New Roman" w:eastAsia="Times New Roman" w:hAnsi="Times New Roman"/>
          <w:lang w:val="en-US" w:eastAsia="en-US"/>
        </w:rPr>
        <w:t>-</w:t>
      </w:r>
      <w:r w:rsidR="00E068CA" w:rsidRPr="00D16B79">
        <w:rPr>
          <w:rFonts w:asciiTheme="majorHAnsi" w:eastAsia="Times New Roman" w:hAnsiTheme="majorHAnsi" w:cstheme="majorHAnsi"/>
          <w:lang w:val="en-US" w:eastAsia="en-US"/>
        </w:rPr>
        <w:t>effect term, </w:t>
      </w:r>
      <m:oMath>
        <m:sSub>
          <m:sSubPr>
            <m:ctrlPr>
              <w:rPr>
                <w:rFonts w:ascii="Cambria Math" w:eastAsia="Times New Roman" w:hAnsi="Cambria Math" w:cstheme="majorHAnsi"/>
                <w:lang w:val="en-US" w:eastAsia="en-US"/>
              </w:rPr>
            </m:ctrlPr>
          </m:sSubPr>
          <m:e>
            <m:r>
              <m:rPr>
                <m:sty m:val="p"/>
              </m:rPr>
              <w:rPr>
                <w:rFonts w:ascii="Cambria Math" w:eastAsia="Times New Roman" w:hAnsi="Cambria Math" w:cstheme="majorHAnsi"/>
                <w:lang w:val="en-US" w:eastAsia="en-US"/>
              </w:rPr>
              <m:t>κ</m:t>
            </m:r>
          </m:e>
          <m:sub>
            <m:r>
              <m:rPr>
                <m:sty m:val="p"/>
              </m:rPr>
              <w:rPr>
                <w:rFonts w:ascii="Cambria Math" w:eastAsia="Times New Roman" w:hAnsi="Cambria Math" w:cstheme="majorHAnsi"/>
                <w:lang w:val="en-US" w:eastAsia="en-US"/>
              </w:rPr>
              <m:t>t</m:t>
            </m:r>
          </m:sub>
        </m:sSub>
      </m:oMath>
      <w:r w:rsidR="00E068CA" w:rsidRPr="00D16B79">
        <w:rPr>
          <w:rFonts w:asciiTheme="majorHAnsi" w:eastAsia="Times New Roman" w:hAnsiTheme="majorHAnsi" w:cstheme="majorHAnsi"/>
          <w:lang w:val="en-US" w:eastAsia="en-US"/>
        </w:rPr>
        <w:t xml:space="preserve">, </w:t>
      </w:r>
      <w:r w:rsidR="000848D5" w:rsidRPr="00D16B79">
        <w:rPr>
          <w:rFonts w:asciiTheme="majorHAnsi" w:eastAsia="Times New Roman" w:hAnsiTheme="majorHAnsi" w:cstheme="majorHAnsi"/>
          <w:lang w:val="en-US" w:eastAsia="en-US"/>
        </w:rPr>
        <w:t xml:space="preserve">which </w:t>
      </w:r>
      <w:r w:rsidR="00675FDC" w:rsidRPr="00D16B79">
        <w:rPr>
          <w:rFonts w:asciiTheme="majorHAnsi" w:eastAsia="Times New Roman" w:hAnsiTheme="majorHAnsi" w:cstheme="majorHAnsi"/>
          <w:lang w:val="en-US" w:eastAsia="en-US"/>
        </w:rPr>
        <w:t xml:space="preserve">captured </w:t>
      </w:r>
      <w:r w:rsidR="00E068CA" w:rsidRPr="00D16B79">
        <w:rPr>
          <w:rFonts w:asciiTheme="majorHAnsi" w:eastAsia="Times New Roman" w:hAnsiTheme="majorHAnsi" w:cstheme="majorHAnsi"/>
          <w:lang w:val="en-US" w:eastAsia="en-US"/>
        </w:rPr>
        <w:t>any</w:t>
      </w:r>
      <w:r w:rsidR="00E068CA" w:rsidRPr="00D16B79">
        <w:rPr>
          <w:rFonts w:ascii="Times New Roman" w:eastAsia="Times New Roman" w:hAnsi="Times New Roman"/>
          <w:lang w:val="en-US" w:eastAsia="en-US"/>
        </w:rPr>
        <w:t xml:space="preserve"> unobserved factors</w:t>
      </w:r>
      <w:r w:rsidR="00675FDC" w:rsidRPr="00D16B79">
        <w:rPr>
          <w:rFonts w:ascii="Times New Roman" w:eastAsia="Times New Roman" w:hAnsi="Times New Roman"/>
          <w:lang w:val="en-US" w:eastAsia="en-US"/>
        </w:rPr>
        <w:t xml:space="preserve"> that varied over time and</w:t>
      </w:r>
      <w:r w:rsidR="00E068CA" w:rsidRPr="00D16B79">
        <w:rPr>
          <w:rFonts w:ascii="Times New Roman" w:eastAsia="Times New Roman" w:hAnsi="Times New Roman"/>
          <w:lang w:val="en-US" w:eastAsia="en-US"/>
        </w:rPr>
        <w:t xml:space="preserve"> </w:t>
      </w:r>
      <w:r w:rsidR="00675FDC" w:rsidRPr="00D16B79">
        <w:rPr>
          <w:rFonts w:ascii="Times New Roman" w:eastAsia="Times New Roman" w:hAnsi="Times New Roman"/>
          <w:lang w:val="en-US" w:eastAsia="en-US"/>
        </w:rPr>
        <w:t xml:space="preserve">were </w:t>
      </w:r>
      <w:r w:rsidR="00E068CA" w:rsidRPr="00D16B79">
        <w:rPr>
          <w:rFonts w:ascii="Times New Roman" w:eastAsia="Times New Roman" w:hAnsi="Times New Roman"/>
          <w:lang w:val="en-US" w:eastAsia="en-US"/>
        </w:rPr>
        <w:t>common across projects</w:t>
      </w:r>
      <w:r w:rsidR="00C41B9D" w:rsidRPr="00D16B79">
        <w:rPr>
          <w:rFonts w:ascii="Times New Roman" w:eastAsia="Times New Roman" w:hAnsi="Times New Roman"/>
          <w:lang w:val="en-US" w:eastAsia="en-US"/>
        </w:rPr>
        <w:t>,</w:t>
      </w:r>
      <w:r w:rsidR="00DA1D3A" w:rsidRPr="00D16B79">
        <w:rPr>
          <w:rFonts w:ascii="Times New Roman" w:eastAsia="Times New Roman" w:hAnsi="Times New Roman"/>
          <w:lang w:val="en-US" w:eastAsia="en-US"/>
        </w:rPr>
        <w:t xml:space="preserve"> such as holiday seasonality</w:t>
      </w:r>
      <w:r w:rsidR="00A2580F" w:rsidRPr="00D16B79">
        <w:rPr>
          <w:rFonts w:ascii="Times New Roman" w:eastAsia="Times New Roman" w:hAnsi="Times New Roman"/>
          <w:lang w:val="en-US" w:eastAsia="en-US"/>
        </w:rPr>
        <w:t xml:space="preserve"> (e.g</w:t>
      </w:r>
      <w:r w:rsidR="001E46DE" w:rsidRPr="00D16B79">
        <w:rPr>
          <w:rFonts w:ascii="Times New Roman" w:eastAsia="Times New Roman" w:hAnsi="Times New Roman"/>
          <w:lang w:val="en-US" w:eastAsia="en-US"/>
        </w:rPr>
        <w:t>.</w:t>
      </w:r>
      <w:r w:rsidR="00A2580F" w:rsidRPr="00D16B79">
        <w:rPr>
          <w:rFonts w:ascii="Times New Roman" w:eastAsia="Times New Roman" w:hAnsi="Times New Roman"/>
          <w:lang w:val="en-US" w:eastAsia="en-US"/>
        </w:rPr>
        <w:t>, greater donation</w:t>
      </w:r>
      <w:r w:rsidR="000848D5" w:rsidRPr="00D16B79">
        <w:rPr>
          <w:rFonts w:ascii="Times New Roman" w:eastAsia="Times New Roman" w:hAnsi="Times New Roman"/>
          <w:lang w:val="en-US" w:eastAsia="en-US"/>
        </w:rPr>
        <w:t>s</w:t>
      </w:r>
      <w:r w:rsidR="00A2580F" w:rsidRPr="00D16B79">
        <w:rPr>
          <w:rFonts w:ascii="Times New Roman" w:eastAsia="Times New Roman" w:hAnsi="Times New Roman"/>
          <w:lang w:val="en-US" w:eastAsia="en-US"/>
        </w:rPr>
        <w:t xml:space="preserve"> during the holiday season)</w:t>
      </w:r>
      <w:r w:rsidR="00E068CA" w:rsidRPr="00D16B79">
        <w:rPr>
          <w:rFonts w:ascii="Times New Roman" w:eastAsia="Times New Roman" w:hAnsi="Times New Roman"/>
          <w:lang w:val="en-US" w:eastAsia="en-US"/>
        </w:rPr>
        <w:t>.</w:t>
      </w:r>
      <w:r w:rsidR="00882621" w:rsidRPr="00D16B79">
        <w:rPr>
          <w:rFonts w:ascii="Times New Roman" w:eastAsia="Times New Roman" w:hAnsi="Times New Roman"/>
          <w:lang w:val="en-US" w:eastAsia="en-US"/>
        </w:rPr>
        <w:t xml:space="preserve"> </w:t>
      </w:r>
    </w:p>
    <w:p w14:paraId="4CB34A7A" w14:textId="719DC2E4" w:rsidR="007D4E28" w:rsidRPr="00D16B79" w:rsidRDefault="007D4E28" w:rsidP="007D4E28">
      <w:pPr>
        <w:autoSpaceDE w:val="0"/>
        <w:autoSpaceDN w:val="0"/>
        <w:adjustRightInd w:val="0"/>
        <w:spacing w:after="160" w:line="259" w:lineRule="auto"/>
        <w:jc w:val="center"/>
        <w:rPr>
          <w:rFonts w:ascii="Times New Roman" w:eastAsia="Calibri" w:hAnsi="Times New Roman"/>
          <w:lang w:val="en-US" w:eastAsia="en-US"/>
        </w:rPr>
      </w:pPr>
      <w:r w:rsidRPr="00D16B79">
        <w:rPr>
          <w:rFonts w:ascii="Times New Roman" w:eastAsia="Calibri" w:hAnsi="Times New Roman"/>
          <w:bCs/>
          <w:lang w:val="en-US" w:eastAsia="en-US"/>
        </w:rPr>
        <w:t>TABLE 2</w:t>
      </w:r>
      <w:r w:rsidR="00D96A32" w:rsidRPr="00D16B79">
        <w:rPr>
          <w:rFonts w:ascii="Times New Roman" w:eastAsia="Calibri" w:hAnsi="Times New Roman"/>
          <w:bCs/>
          <w:lang w:val="en-US" w:eastAsia="en-US"/>
        </w:rPr>
        <w:t>:</w:t>
      </w:r>
      <w:r w:rsidRPr="00D16B79">
        <w:rPr>
          <w:rFonts w:ascii="Times New Roman" w:eastAsia="Calibri" w:hAnsi="Times New Roman"/>
          <w:bCs/>
          <w:lang w:val="en-US" w:eastAsia="en-US"/>
        </w:rPr>
        <w:t xml:space="preserve"> </w:t>
      </w:r>
      <w:r w:rsidRPr="00D16B79">
        <w:rPr>
          <w:rFonts w:ascii="Times New Roman" w:eastAsia="Calibri" w:hAnsi="Times New Roman"/>
          <w:lang w:val="en-US" w:eastAsia="en-US"/>
        </w:rPr>
        <w:t xml:space="preserve">SUMMARY OF </w:t>
      </w:r>
      <w:r w:rsidR="00671531" w:rsidRPr="00D16B79">
        <w:rPr>
          <w:rFonts w:ascii="Times New Roman" w:eastAsia="Calibri" w:hAnsi="Times New Roman"/>
          <w:lang w:val="en-US" w:eastAsia="en-US"/>
        </w:rPr>
        <w:t xml:space="preserve">RESULTS OF </w:t>
      </w:r>
      <w:r w:rsidR="007764B9" w:rsidRPr="00D16B79">
        <w:rPr>
          <w:rFonts w:ascii="Times New Roman" w:eastAsia="Calibri" w:hAnsi="Times New Roman"/>
          <w:lang w:val="en-US" w:eastAsia="en-US"/>
        </w:rPr>
        <w:t>REGRESSION ANALYSIS</w:t>
      </w:r>
      <w:r w:rsidRPr="00D16B79">
        <w:rPr>
          <w:rFonts w:ascii="Times New Roman" w:eastAsia="Calibri" w:hAnsi="Times New Roman"/>
          <w:lang w:val="en-US" w:eastAsia="en-US"/>
        </w:rPr>
        <w:t xml:space="preserve"> </w:t>
      </w:r>
      <w:r w:rsidR="00895B4D" w:rsidRPr="00D16B79">
        <w:rPr>
          <w:rFonts w:ascii="Times New Roman" w:eastAsia="Calibri" w:hAnsi="Times New Roman"/>
          <w:lang w:val="en-US" w:eastAsia="en-US"/>
        </w:rPr>
        <w:t xml:space="preserve">IN STUDY </w:t>
      </w:r>
      <w:r w:rsidR="00F7283A" w:rsidRPr="00D16B79">
        <w:rPr>
          <w:rFonts w:ascii="Times New Roman" w:eastAsia="Calibri" w:hAnsi="Times New Roman"/>
          <w:lang w:val="en-US" w:eastAsia="en-US"/>
        </w:rPr>
        <w:t>6</w:t>
      </w:r>
    </w:p>
    <w:tbl>
      <w:tblPr>
        <w:tblStyle w:val="PlainTable2"/>
        <w:tblW w:w="9350" w:type="dxa"/>
        <w:tblLook w:val="0620" w:firstRow="1" w:lastRow="0" w:firstColumn="0" w:lastColumn="0" w:noHBand="1" w:noVBand="1"/>
      </w:tblPr>
      <w:tblGrid>
        <w:gridCol w:w="2547"/>
        <w:gridCol w:w="1700"/>
        <w:gridCol w:w="1701"/>
        <w:gridCol w:w="1849"/>
        <w:gridCol w:w="1553"/>
      </w:tblGrid>
      <w:tr w:rsidR="0053654B" w:rsidRPr="00D16B79" w14:paraId="11BBB36B" w14:textId="77777777" w:rsidTr="0053654B">
        <w:trPr>
          <w:cnfStyle w:val="100000000000" w:firstRow="1" w:lastRow="0" w:firstColumn="0" w:lastColumn="0" w:oddVBand="0" w:evenVBand="0" w:oddHBand="0" w:evenHBand="0" w:firstRowFirstColumn="0" w:firstRowLastColumn="0" w:lastRowFirstColumn="0" w:lastRowLastColumn="0"/>
          <w:trHeight w:val="184"/>
        </w:trPr>
        <w:tc>
          <w:tcPr>
            <w:tcW w:w="2547" w:type="dxa"/>
            <w:hideMark/>
          </w:tcPr>
          <w:p w14:paraId="652FD449" w14:textId="77777777" w:rsidR="0053654B" w:rsidRPr="00D16B79" w:rsidRDefault="0053654B" w:rsidP="00C21AB1">
            <w:pPr>
              <w:spacing w:line="276" w:lineRule="auto"/>
              <w:ind w:firstLine="720"/>
              <w:rPr>
                <w:rFonts w:ascii="Times New Roman" w:eastAsia="Times New Roman" w:hAnsi="Times New Roman"/>
                <w:b w:val="0"/>
                <w:sz w:val="22"/>
                <w:szCs w:val="22"/>
                <w:lang w:val="en-US" w:eastAsia="en-US"/>
              </w:rPr>
            </w:pPr>
            <w:bookmarkStart w:id="27" w:name="_Hlk132714390"/>
          </w:p>
        </w:tc>
        <w:tc>
          <w:tcPr>
            <w:tcW w:w="1700" w:type="dxa"/>
          </w:tcPr>
          <w:p w14:paraId="76EFE85B" w14:textId="77777777" w:rsidR="0053654B" w:rsidRPr="00D16B79" w:rsidRDefault="0053654B" w:rsidP="00C21AB1">
            <w:pPr>
              <w:spacing w:line="276" w:lineRule="auto"/>
              <w:jc w:val="center"/>
              <w:rPr>
                <w:rFonts w:ascii="Times New Roman" w:eastAsia="Times New Roman" w:hAnsi="Times New Roman"/>
                <w:b w:val="0"/>
                <w:bCs w:val="0"/>
                <w:sz w:val="22"/>
                <w:szCs w:val="22"/>
                <w:lang w:val="en-US" w:eastAsia="en-US"/>
              </w:rPr>
            </w:pPr>
            <w:r w:rsidRPr="00D16B79">
              <w:rPr>
                <w:rFonts w:ascii="Times New Roman" w:eastAsia="Times New Roman" w:hAnsi="Times New Roman"/>
                <w:b w:val="0"/>
                <w:bCs w:val="0"/>
                <w:sz w:val="22"/>
                <w:szCs w:val="22"/>
                <w:lang w:val="en-US" w:eastAsia="en-US"/>
              </w:rPr>
              <w:t>(1)</w:t>
            </w:r>
          </w:p>
          <w:p w14:paraId="6CB1E437" w14:textId="77777777" w:rsidR="0053654B" w:rsidRPr="00D16B79" w:rsidRDefault="0053654B" w:rsidP="00C21AB1">
            <w:pPr>
              <w:spacing w:line="276" w:lineRule="auto"/>
              <w:jc w:val="center"/>
              <w:rPr>
                <w:rFonts w:ascii="Times New Roman" w:eastAsia="Times New Roman" w:hAnsi="Times New Roman"/>
                <w:b w:val="0"/>
                <w:bCs w:val="0"/>
                <w:sz w:val="22"/>
                <w:szCs w:val="22"/>
                <w:lang w:val="en-US" w:eastAsia="en-US"/>
              </w:rPr>
            </w:pPr>
            <w:r w:rsidRPr="00D16B79">
              <w:rPr>
                <w:rFonts w:ascii="Times New Roman" w:eastAsia="Times New Roman" w:hAnsi="Times New Roman"/>
                <w:b w:val="0"/>
                <w:bCs w:val="0"/>
                <w:sz w:val="22"/>
                <w:szCs w:val="22"/>
                <w:lang w:val="en-US" w:eastAsia="en-US"/>
              </w:rPr>
              <w:t>All Samples</w:t>
            </w:r>
          </w:p>
        </w:tc>
        <w:tc>
          <w:tcPr>
            <w:tcW w:w="1701" w:type="dxa"/>
            <w:hideMark/>
          </w:tcPr>
          <w:p w14:paraId="7F8D073D" w14:textId="77777777" w:rsidR="0053654B" w:rsidRPr="00D16B79" w:rsidRDefault="0053654B" w:rsidP="00C21AB1">
            <w:pPr>
              <w:spacing w:line="276" w:lineRule="auto"/>
              <w:jc w:val="center"/>
              <w:rPr>
                <w:rFonts w:ascii="Times New Roman" w:eastAsia="Times New Roman" w:hAnsi="Times New Roman"/>
                <w:b w:val="0"/>
                <w:bCs w:val="0"/>
                <w:sz w:val="22"/>
                <w:szCs w:val="22"/>
                <w:lang w:val="en-US" w:eastAsia="en-US"/>
              </w:rPr>
            </w:pPr>
            <w:r w:rsidRPr="00D16B79">
              <w:rPr>
                <w:rFonts w:ascii="Times New Roman" w:eastAsia="Times New Roman" w:hAnsi="Times New Roman"/>
                <w:b w:val="0"/>
                <w:bCs w:val="0"/>
                <w:sz w:val="22"/>
                <w:szCs w:val="22"/>
                <w:lang w:val="en-US" w:eastAsia="en-US"/>
              </w:rPr>
              <w:t>(2)</w:t>
            </w:r>
          </w:p>
          <w:p w14:paraId="605BB9B3" w14:textId="77777777" w:rsidR="0053654B" w:rsidRPr="00D16B79" w:rsidRDefault="0053654B" w:rsidP="00C21AB1">
            <w:pPr>
              <w:spacing w:line="276" w:lineRule="auto"/>
              <w:jc w:val="center"/>
              <w:rPr>
                <w:rFonts w:ascii="Times New Roman" w:eastAsia="Times New Roman" w:hAnsi="Times New Roman"/>
                <w:b w:val="0"/>
                <w:sz w:val="22"/>
                <w:szCs w:val="22"/>
                <w:lang w:val="en-US" w:eastAsia="en-US"/>
              </w:rPr>
            </w:pPr>
            <w:r w:rsidRPr="00D16B79">
              <w:rPr>
                <w:rFonts w:ascii="Times New Roman" w:eastAsia="Times New Roman" w:hAnsi="Times New Roman"/>
                <w:b w:val="0"/>
                <w:bCs w:val="0"/>
                <w:sz w:val="22"/>
                <w:szCs w:val="22"/>
                <w:lang w:val="en-US" w:eastAsia="en-US"/>
              </w:rPr>
              <w:t>Low Progress</w:t>
            </w:r>
          </w:p>
          <w:p w14:paraId="39F002B0" w14:textId="77777777" w:rsidR="0053654B" w:rsidRPr="00D16B79" w:rsidRDefault="0053654B" w:rsidP="00C21AB1">
            <w:pPr>
              <w:spacing w:line="276" w:lineRule="auto"/>
              <w:jc w:val="center"/>
              <w:rPr>
                <w:rFonts w:ascii="Times New Roman" w:eastAsia="Times New Roman" w:hAnsi="Times New Roman"/>
                <w:b w:val="0"/>
                <w:sz w:val="22"/>
                <w:szCs w:val="22"/>
                <w:lang w:val="en-US" w:eastAsia="en-US"/>
              </w:rPr>
            </w:pPr>
            <w:r w:rsidRPr="00D16B79">
              <w:rPr>
                <w:rFonts w:ascii="Times New Roman" w:eastAsia="Times New Roman" w:hAnsi="Times New Roman"/>
                <w:b w:val="0"/>
                <w:bCs w:val="0"/>
                <w:sz w:val="22"/>
                <w:szCs w:val="22"/>
                <w:lang w:val="en-US" w:eastAsia="en-US"/>
              </w:rPr>
              <w:t>&lt; 33%</w:t>
            </w:r>
          </w:p>
        </w:tc>
        <w:tc>
          <w:tcPr>
            <w:tcW w:w="1849" w:type="dxa"/>
            <w:hideMark/>
          </w:tcPr>
          <w:p w14:paraId="47A3DAAD" w14:textId="77777777" w:rsidR="0053654B" w:rsidRPr="00D16B79" w:rsidRDefault="0053654B" w:rsidP="00C21AB1">
            <w:pPr>
              <w:spacing w:line="276" w:lineRule="auto"/>
              <w:jc w:val="center"/>
              <w:rPr>
                <w:rFonts w:ascii="Times New Roman" w:eastAsia="Times New Roman" w:hAnsi="Times New Roman"/>
                <w:b w:val="0"/>
                <w:bCs w:val="0"/>
                <w:sz w:val="22"/>
                <w:szCs w:val="22"/>
                <w:lang w:val="en-US" w:eastAsia="en-US"/>
              </w:rPr>
            </w:pPr>
            <w:r w:rsidRPr="00D16B79">
              <w:rPr>
                <w:rFonts w:ascii="Times New Roman" w:eastAsia="Times New Roman" w:hAnsi="Times New Roman"/>
                <w:b w:val="0"/>
                <w:bCs w:val="0"/>
                <w:sz w:val="22"/>
                <w:szCs w:val="22"/>
                <w:lang w:val="en-US" w:eastAsia="en-US"/>
              </w:rPr>
              <w:t>(3)</w:t>
            </w:r>
          </w:p>
          <w:p w14:paraId="7408F649" w14:textId="77777777" w:rsidR="0053654B" w:rsidRPr="00D16B79" w:rsidRDefault="0053654B" w:rsidP="00C21AB1">
            <w:pPr>
              <w:spacing w:line="276" w:lineRule="auto"/>
              <w:jc w:val="center"/>
              <w:rPr>
                <w:rFonts w:ascii="Times New Roman" w:eastAsia="Times New Roman" w:hAnsi="Times New Roman"/>
                <w:b w:val="0"/>
                <w:sz w:val="22"/>
                <w:szCs w:val="22"/>
                <w:lang w:val="en-US" w:eastAsia="en-US"/>
              </w:rPr>
            </w:pPr>
            <w:r w:rsidRPr="00D16B79">
              <w:rPr>
                <w:rFonts w:ascii="Times New Roman" w:eastAsia="Times New Roman" w:hAnsi="Times New Roman"/>
                <w:b w:val="0"/>
                <w:bCs w:val="0"/>
                <w:sz w:val="22"/>
                <w:szCs w:val="22"/>
                <w:lang w:val="en-US" w:eastAsia="en-US"/>
              </w:rPr>
              <w:t>Medium Progress</w:t>
            </w:r>
          </w:p>
          <w:p w14:paraId="16DD4DC0" w14:textId="77777777" w:rsidR="0053654B" w:rsidRPr="00D16B79" w:rsidRDefault="0053654B" w:rsidP="00C21AB1">
            <w:pPr>
              <w:spacing w:line="276" w:lineRule="auto"/>
              <w:jc w:val="center"/>
              <w:rPr>
                <w:rFonts w:ascii="Times New Roman" w:eastAsia="Times New Roman" w:hAnsi="Times New Roman"/>
                <w:b w:val="0"/>
                <w:sz w:val="22"/>
                <w:szCs w:val="22"/>
                <w:lang w:val="en-US" w:eastAsia="en-US"/>
              </w:rPr>
            </w:pPr>
            <w:r w:rsidRPr="00D16B79">
              <w:rPr>
                <w:rFonts w:ascii="Times New Roman" w:eastAsia="Times New Roman" w:hAnsi="Times New Roman"/>
                <w:b w:val="0"/>
                <w:bCs w:val="0"/>
                <w:sz w:val="22"/>
                <w:szCs w:val="22"/>
                <w:lang w:val="en-US" w:eastAsia="en-US"/>
              </w:rPr>
              <w:t>33 - 66%</w:t>
            </w:r>
          </w:p>
        </w:tc>
        <w:tc>
          <w:tcPr>
            <w:tcW w:w="1553" w:type="dxa"/>
            <w:hideMark/>
          </w:tcPr>
          <w:p w14:paraId="42FC82B6" w14:textId="77777777" w:rsidR="0053654B" w:rsidRPr="00D16B79" w:rsidRDefault="0053654B" w:rsidP="00C21AB1">
            <w:pPr>
              <w:spacing w:line="276" w:lineRule="auto"/>
              <w:jc w:val="center"/>
              <w:rPr>
                <w:rFonts w:ascii="Times New Roman" w:eastAsia="Times New Roman" w:hAnsi="Times New Roman"/>
                <w:b w:val="0"/>
                <w:bCs w:val="0"/>
                <w:sz w:val="22"/>
                <w:szCs w:val="22"/>
                <w:lang w:val="en-US" w:eastAsia="en-US"/>
              </w:rPr>
            </w:pPr>
            <w:r w:rsidRPr="00D16B79">
              <w:rPr>
                <w:rFonts w:ascii="Times New Roman" w:eastAsia="Times New Roman" w:hAnsi="Times New Roman"/>
                <w:b w:val="0"/>
                <w:bCs w:val="0"/>
                <w:sz w:val="22"/>
                <w:szCs w:val="22"/>
                <w:lang w:val="en-US" w:eastAsia="en-US"/>
              </w:rPr>
              <w:t>(4)</w:t>
            </w:r>
          </w:p>
          <w:p w14:paraId="6C2F504A" w14:textId="77777777" w:rsidR="0053654B" w:rsidRPr="00D16B79" w:rsidRDefault="0053654B" w:rsidP="00C21AB1">
            <w:pPr>
              <w:spacing w:line="276" w:lineRule="auto"/>
              <w:jc w:val="center"/>
              <w:rPr>
                <w:rFonts w:ascii="Times New Roman" w:eastAsia="Times New Roman" w:hAnsi="Times New Roman"/>
                <w:b w:val="0"/>
                <w:sz w:val="22"/>
                <w:szCs w:val="22"/>
                <w:lang w:val="en-US" w:eastAsia="en-US"/>
              </w:rPr>
            </w:pPr>
            <w:r w:rsidRPr="00D16B79">
              <w:rPr>
                <w:rFonts w:ascii="Times New Roman" w:eastAsia="Times New Roman" w:hAnsi="Times New Roman"/>
                <w:b w:val="0"/>
                <w:bCs w:val="0"/>
                <w:sz w:val="22"/>
                <w:szCs w:val="22"/>
                <w:lang w:val="en-US" w:eastAsia="en-US"/>
              </w:rPr>
              <w:t>High Progress</w:t>
            </w:r>
          </w:p>
          <w:p w14:paraId="6E280E5B" w14:textId="77777777" w:rsidR="0053654B" w:rsidRPr="00D16B79" w:rsidRDefault="0053654B" w:rsidP="00C21AB1">
            <w:pPr>
              <w:spacing w:line="276" w:lineRule="auto"/>
              <w:jc w:val="center"/>
              <w:rPr>
                <w:rFonts w:ascii="Times New Roman" w:eastAsia="Times New Roman" w:hAnsi="Times New Roman"/>
                <w:b w:val="0"/>
                <w:sz w:val="22"/>
                <w:szCs w:val="22"/>
                <w:lang w:val="en-US" w:eastAsia="en-US"/>
              </w:rPr>
            </w:pPr>
            <w:r w:rsidRPr="00D16B79">
              <w:rPr>
                <w:rFonts w:ascii="Times New Roman" w:eastAsia="Times New Roman" w:hAnsi="Times New Roman"/>
                <w:b w:val="0"/>
                <w:bCs w:val="0"/>
                <w:sz w:val="22"/>
                <w:szCs w:val="22"/>
                <w:lang w:val="en-US" w:eastAsia="en-US"/>
              </w:rPr>
              <w:t>&gt; 66%</w:t>
            </w:r>
          </w:p>
        </w:tc>
      </w:tr>
      <w:tr w:rsidR="0053654B" w:rsidRPr="00D16B79" w14:paraId="70065F9F" w14:textId="77777777" w:rsidTr="0053654B">
        <w:trPr>
          <w:trHeight w:val="391"/>
        </w:trPr>
        <w:tc>
          <w:tcPr>
            <w:tcW w:w="2547" w:type="dxa"/>
            <w:hideMark/>
          </w:tcPr>
          <w:p w14:paraId="4B908947" w14:textId="77777777" w:rsidR="0053654B" w:rsidRPr="00D16B79" w:rsidRDefault="0053654B" w:rsidP="0053654B">
            <w:pPr>
              <w:spacing w:afterLines="24" w:after="57"/>
              <w:rPr>
                <w:rFonts w:ascii="Times New Roman" w:eastAsia="Times New Roman" w:hAnsi="Times New Roman"/>
                <w:sz w:val="22"/>
                <w:szCs w:val="22"/>
                <w:lang w:val="en-US" w:eastAsia="en-US"/>
              </w:rPr>
            </w:pPr>
            <w:r w:rsidRPr="00D16B79">
              <w:rPr>
                <w:rFonts w:ascii="Times New Roman" w:eastAsia="Times New Roman" w:hAnsi="Times New Roman"/>
                <w:bCs/>
                <w:sz w:val="22"/>
                <w:szCs w:val="22"/>
                <w:lang w:val="en-US" w:eastAsia="en-US"/>
              </w:rPr>
              <w:t>log(1+</w:t>
            </w:r>
            <w:r w:rsidRPr="00D16B79">
              <w:rPr>
                <w:rFonts w:eastAsia="Cambria"/>
                <w:bCs/>
                <w:i/>
                <w:iCs/>
                <w:lang w:val="en-US" w:eastAsia="en-US"/>
              </w:rPr>
              <w:t xml:space="preserve"> Progress</w:t>
            </w:r>
            <w:r w:rsidRPr="00D16B79">
              <w:rPr>
                <w:rFonts w:eastAsia="Cambria"/>
                <w:bCs/>
                <w:i/>
                <w:iCs/>
                <w:vertAlign w:val="subscript"/>
                <w:lang w:val="en-US" w:eastAsia="en-US"/>
              </w:rPr>
              <w:t>j,t-1</w:t>
            </w:r>
            <w:r w:rsidRPr="00D16B79">
              <w:rPr>
                <w:rFonts w:ascii="Times New Roman" w:eastAsia="Times New Roman" w:hAnsi="Times New Roman"/>
                <w:bCs/>
                <w:sz w:val="22"/>
                <w:szCs w:val="22"/>
                <w:lang w:val="en-US" w:eastAsia="en-US"/>
              </w:rPr>
              <w:t>)</w:t>
            </w:r>
          </w:p>
        </w:tc>
        <w:tc>
          <w:tcPr>
            <w:tcW w:w="1700" w:type="dxa"/>
          </w:tcPr>
          <w:p w14:paraId="02EF336D"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-0.021***</w:t>
            </w:r>
          </w:p>
          <w:p w14:paraId="2D948CC7"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(0.001)</w:t>
            </w:r>
          </w:p>
        </w:tc>
        <w:tc>
          <w:tcPr>
            <w:tcW w:w="1701" w:type="dxa"/>
            <w:hideMark/>
          </w:tcPr>
          <w:p w14:paraId="36E98045"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-0.033***</w:t>
            </w:r>
          </w:p>
          <w:p w14:paraId="36EA969B"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(0.001)</w:t>
            </w:r>
          </w:p>
        </w:tc>
        <w:tc>
          <w:tcPr>
            <w:tcW w:w="1849" w:type="dxa"/>
            <w:hideMark/>
          </w:tcPr>
          <w:p w14:paraId="60A09358"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-0.039***</w:t>
            </w:r>
          </w:p>
          <w:p w14:paraId="0B418B69"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(0.002)</w:t>
            </w:r>
          </w:p>
        </w:tc>
        <w:tc>
          <w:tcPr>
            <w:tcW w:w="1553" w:type="dxa"/>
            <w:hideMark/>
          </w:tcPr>
          <w:p w14:paraId="6C8DF8F5"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-0.189***</w:t>
            </w:r>
          </w:p>
          <w:p w14:paraId="1D94C997"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(0.003)</w:t>
            </w:r>
          </w:p>
        </w:tc>
      </w:tr>
      <w:tr w:rsidR="0053654B" w:rsidRPr="00D16B79" w14:paraId="347FDAA5" w14:textId="77777777" w:rsidTr="0053654B">
        <w:trPr>
          <w:trHeight w:val="448"/>
        </w:trPr>
        <w:tc>
          <w:tcPr>
            <w:tcW w:w="2547" w:type="dxa"/>
            <w:hideMark/>
          </w:tcPr>
          <w:p w14:paraId="3F8F58B0" w14:textId="77777777" w:rsidR="0053654B" w:rsidRPr="00D16B79" w:rsidRDefault="0053654B" w:rsidP="0053654B">
            <w:pPr>
              <w:spacing w:afterLines="24" w:after="57"/>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 xml:space="preserve">log(Presentation </w:t>
            </w:r>
            <w:proofErr w:type="spellStart"/>
            <w:r w:rsidRPr="00D16B79">
              <w:rPr>
                <w:rFonts w:ascii="Times New Roman" w:eastAsia="Times New Roman" w:hAnsi="Times New Roman"/>
                <w:sz w:val="22"/>
                <w:szCs w:val="22"/>
                <w:lang w:val="en-US" w:eastAsia="en-US"/>
              </w:rPr>
              <w:t>order</w:t>
            </w:r>
            <w:r w:rsidRPr="00D16B79">
              <w:rPr>
                <w:rFonts w:ascii="Times New Roman" w:eastAsia="Times New Roman" w:hAnsi="Times New Roman"/>
                <w:i/>
                <w:iCs/>
                <w:sz w:val="22"/>
                <w:szCs w:val="22"/>
                <w:vertAlign w:val="subscript"/>
                <w:lang w:val="en-US" w:eastAsia="en-US"/>
              </w:rPr>
              <w:t>j,t</w:t>
            </w:r>
            <w:proofErr w:type="spellEnd"/>
            <w:r w:rsidRPr="00D16B79">
              <w:rPr>
                <w:rFonts w:ascii="Times New Roman" w:eastAsia="Times New Roman" w:hAnsi="Times New Roman"/>
                <w:sz w:val="22"/>
                <w:szCs w:val="22"/>
                <w:lang w:val="en-US" w:eastAsia="en-US"/>
              </w:rPr>
              <w:t>)</w:t>
            </w:r>
          </w:p>
        </w:tc>
        <w:tc>
          <w:tcPr>
            <w:tcW w:w="1700" w:type="dxa"/>
          </w:tcPr>
          <w:p w14:paraId="794A3093"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-0.0003***</w:t>
            </w:r>
          </w:p>
          <w:p w14:paraId="2E367309"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(0.00001)</w:t>
            </w:r>
          </w:p>
        </w:tc>
        <w:tc>
          <w:tcPr>
            <w:tcW w:w="1701" w:type="dxa"/>
            <w:hideMark/>
          </w:tcPr>
          <w:p w14:paraId="79E7EF04"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0.00002**</w:t>
            </w:r>
          </w:p>
          <w:p w14:paraId="51C968FC"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(0.00001)</w:t>
            </w:r>
          </w:p>
        </w:tc>
        <w:tc>
          <w:tcPr>
            <w:tcW w:w="1849" w:type="dxa"/>
            <w:hideMark/>
          </w:tcPr>
          <w:p w14:paraId="36CD6131"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-0.0005***</w:t>
            </w:r>
          </w:p>
          <w:p w14:paraId="00165FE2"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(0.00002)</w:t>
            </w:r>
          </w:p>
        </w:tc>
        <w:tc>
          <w:tcPr>
            <w:tcW w:w="1553" w:type="dxa"/>
            <w:hideMark/>
          </w:tcPr>
          <w:p w14:paraId="756914B9"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-0.001***</w:t>
            </w:r>
          </w:p>
          <w:p w14:paraId="5B4D032E"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(0.00003)</w:t>
            </w:r>
          </w:p>
        </w:tc>
      </w:tr>
      <w:tr w:rsidR="0053654B" w:rsidRPr="00D16B79" w14:paraId="3D225D16" w14:textId="77777777" w:rsidTr="0053654B">
        <w:trPr>
          <w:trHeight w:val="184"/>
        </w:trPr>
        <w:tc>
          <w:tcPr>
            <w:tcW w:w="2547" w:type="dxa"/>
            <w:hideMark/>
          </w:tcPr>
          <w:p w14:paraId="27F3CB1A" w14:textId="77777777" w:rsidR="0053654B" w:rsidRPr="00D16B79" w:rsidRDefault="0053654B" w:rsidP="0053654B">
            <w:pPr>
              <w:spacing w:afterLines="24" w:after="57"/>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 xml:space="preserve">log(Remaining # </w:t>
            </w:r>
            <w:proofErr w:type="spellStart"/>
            <w:r w:rsidRPr="00D16B79">
              <w:rPr>
                <w:rFonts w:ascii="Times New Roman" w:eastAsia="Times New Roman" w:hAnsi="Times New Roman"/>
                <w:sz w:val="22"/>
                <w:szCs w:val="22"/>
                <w:lang w:val="en-US" w:eastAsia="en-US"/>
              </w:rPr>
              <w:t>days</w:t>
            </w:r>
            <w:r w:rsidRPr="00D16B79">
              <w:rPr>
                <w:rFonts w:ascii="Times New Roman" w:eastAsia="Times New Roman" w:hAnsi="Times New Roman"/>
                <w:i/>
                <w:iCs/>
                <w:sz w:val="22"/>
                <w:szCs w:val="22"/>
                <w:vertAlign w:val="subscript"/>
                <w:lang w:val="en-US" w:eastAsia="en-US"/>
              </w:rPr>
              <w:t>j,t</w:t>
            </w:r>
            <w:proofErr w:type="spellEnd"/>
            <w:r w:rsidRPr="00D16B79">
              <w:rPr>
                <w:rFonts w:ascii="Times New Roman" w:eastAsia="Times New Roman" w:hAnsi="Times New Roman"/>
                <w:sz w:val="22"/>
                <w:szCs w:val="22"/>
                <w:lang w:val="en-US" w:eastAsia="en-US"/>
              </w:rPr>
              <w:t>)</w:t>
            </w:r>
          </w:p>
        </w:tc>
        <w:tc>
          <w:tcPr>
            <w:tcW w:w="1700" w:type="dxa"/>
          </w:tcPr>
          <w:p w14:paraId="4EC37225"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-0.003***</w:t>
            </w:r>
          </w:p>
          <w:p w14:paraId="3AFEDD25"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(0.0001)</w:t>
            </w:r>
          </w:p>
        </w:tc>
        <w:tc>
          <w:tcPr>
            <w:tcW w:w="1701" w:type="dxa"/>
            <w:hideMark/>
          </w:tcPr>
          <w:p w14:paraId="5E7696E7"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-0.002***</w:t>
            </w:r>
          </w:p>
          <w:p w14:paraId="0687FA2E"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(0.0001)</w:t>
            </w:r>
          </w:p>
        </w:tc>
        <w:tc>
          <w:tcPr>
            <w:tcW w:w="1849" w:type="dxa"/>
            <w:hideMark/>
          </w:tcPr>
          <w:p w14:paraId="29957D85"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-0.003***</w:t>
            </w:r>
          </w:p>
          <w:p w14:paraId="66FD23BE"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(0.0002)</w:t>
            </w:r>
          </w:p>
        </w:tc>
        <w:tc>
          <w:tcPr>
            <w:tcW w:w="1553" w:type="dxa"/>
            <w:hideMark/>
          </w:tcPr>
          <w:p w14:paraId="1851145B"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-0.005***</w:t>
            </w:r>
          </w:p>
          <w:p w14:paraId="7986A2D9"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(0.001)</w:t>
            </w:r>
          </w:p>
        </w:tc>
      </w:tr>
      <w:tr w:rsidR="0053654B" w:rsidRPr="00D16B79" w14:paraId="655D5F17" w14:textId="77777777" w:rsidTr="0053654B">
        <w:trPr>
          <w:trHeight w:val="184"/>
        </w:trPr>
        <w:tc>
          <w:tcPr>
            <w:tcW w:w="2547" w:type="dxa"/>
          </w:tcPr>
          <w:p w14:paraId="6A59F160" w14:textId="77777777" w:rsidR="0053654B" w:rsidRPr="00D16B79" w:rsidRDefault="0053654B" w:rsidP="0053654B">
            <w:pPr>
              <w:spacing w:afterLines="24" w:after="57"/>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Fixed effects</w:t>
            </w:r>
          </w:p>
        </w:tc>
        <w:tc>
          <w:tcPr>
            <w:tcW w:w="1700" w:type="dxa"/>
          </w:tcPr>
          <w:p w14:paraId="178DEEA8"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p>
        </w:tc>
        <w:tc>
          <w:tcPr>
            <w:tcW w:w="1701" w:type="dxa"/>
          </w:tcPr>
          <w:p w14:paraId="3B096365"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p>
        </w:tc>
        <w:tc>
          <w:tcPr>
            <w:tcW w:w="1849" w:type="dxa"/>
          </w:tcPr>
          <w:p w14:paraId="7236F4A7"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p>
        </w:tc>
        <w:tc>
          <w:tcPr>
            <w:tcW w:w="1553" w:type="dxa"/>
          </w:tcPr>
          <w:p w14:paraId="41549823"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p>
        </w:tc>
      </w:tr>
      <w:tr w:rsidR="0053654B" w:rsidRPr="00D16B79" w14:paraId="2AE2E414" w14:textId="77777777" w:rsidTr="0053654B">
        <w:trPr>
          <w:trHeight w:val="161"/>
        </w:trPr>
        <w:tc>
          <w:tcPr>
            <w:tcW w:w="2547" w:type="dxa"/>
          </w:tcPr>
          <w:p w14:paraId="4A15D02B" w14:textId="77777777" w:rsidR="0053654B" w:rsidRPr="00D16B79" w:rsidRDefault="0053654B" w:rsidP="0053654B">
            <w:pPr>
              <w:spacing w:afterLines="24" w:after="57"/>
              <w:ind w:firstLine="310"/>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Project-Date-Hour</w:t>
            </w:r>
          </w:p>
        </w:tc>
        <w:tc>
          <w:tcPr>
            <w:tcW w:w="1700" w:type="dxa"/>
          </w:tcPr>
          <w:p w14:paraId="41DFE128"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701" w:type="dxa"/>
          </w:tcPr>
          <w:p w14:paraId="44CD85B6"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849" w:type="dxa"/>
          </w:tcPr>
          <w:p w14:paraId="1B8F6A37"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553" w:type="dxa"/>
          </w:tcPr>
          <w:p w14:paraId="67EA8450"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r>
      <w:tr w:rsidR="0053654B" w:rsidRPr="00D16B79" w14:paraId="2A13BCB4" w14:textId="77777777" w:rsidTr="0053654B">
        <w:trPr>
          <w:trHeight w:val="209"/>
        </w:trPr>
        <w:tc>
          <w:tcPr>
            <w:tcW w:w="2547" w:type="dxa"/>
          </w:tcPr>
          <w:p w14:paraId="5D54A623" w14:textId="77777777" w:rsidR="0053654B" w:rsidRPr="00D16B79" w:rsidRDefault="0053654B" w:rsidP="0053654B">
            <w:pPr>
              <w:spacing w:afterLines="24" w:after="57"/>
              <w:ind w:firstLine="310"/>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 xml:space="preserve">Time </w:t>
            </w:r>
          </w:p>
        </w:tc>
        <w:tc>
          <w:tcPr>
            <w:tcW w:w="1700" w:type="dxa"/>
          </w:tcPr>
          <w:p w14:paraId="13766283"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701" w:type="dxa"/>
          </w:tcPr>
          <w:p w14:paraId="3FADEE3E"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849" w:type="dxa"/>
          </w:tcPr>
          <w:p w14:paraId="0E999246"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553" w:type="dxa"/>
          </w:tcPr>
          <w:p w14:paraId="348D416D"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r>
      <w:tr w:rsidR="0053654B" w:rsidRPr="00D16B79" w14:paraId="5D075EBF" w14:textId="77777777" w:rsidTr="0053654B">
        <w:trPr>
          <w:trHeight w:val="184"/>
        </w:trPr>
        <w:tc>
          <w:tcPr>
            <w:tcW w:w="2547" w:type="dxa"/>
          </w:tcPr>
          <w:p w14:paraId="523B1184" w14:textId="77777777" w:rsidR="0053654B" w:rsidRPr="00D16B79" w:rsidRDefault="0053654B" w:rsidP="0053654B">
            <w:pPr>
              <w:spacing w:afterLines="24" w:after="57"/>
              <w:ind w:firstLine="310"/>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Borrower</w:t>
            </w:r>
          </w:p>
        </w:tc>
        <w:tc>
          <w:tcPr>
            <w:tcW w:w="1700" w:type="dxa"/>
          </w:tcPr>
          <w:p w14:paraId="3F1BE3C6"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701" w:type="dxa"/>
          </w:tcPr>
          <w:p w14:paraId="2BFDEF35"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849" w:type="dxa"/>
          </w:tcPr>
          <w:p w14:paraId="47CE9AA5"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c>
          <w:tcPr>
            <w:tcW w:w="1553" w:type="dxa"/>
          </w:tcPr>
          <w:p w14:paraId="5C0F9657" w14:textId="77777777" w:rsidR="0053654B" w:rsidRPr="00D16B79" w:rsidRDefault="0053654B" w:rsidP="0053654B">
            <w:pPr>
              <w:spacing w:afterLines="24" w:after="57"/>
              <w:jc w:val="center"/>
              <w:rPr>
                <w:rFonts w:ascii="Times New Roman" w:eastAsia="Times New Roman" w:hAnsi="Times New Roman"/>
                <w:sz w:val="20"/>
                <w:szCs w:val="20"/>
                <w:lang w:val="en-US" w:eastAsia="en-US"/>
              </w:rPr>
            </w:pPr>
            <w:r w:rsidRPr="00D16B79">
              <w:rPr>
                <w:rFonts w:ascii="Times New Roman" w:eastAsia="Times New Roman" w:hAnsi="Times New Roman"/>
                <w:sz w:val="20"/>
                <w:szCs w:val="20"/>
                <w:lang w:val="en-US" w:eastAsia="en-US"/>
              </w:rPr>
              <w:t>Yes</w:t>
            </w:r>
          </w:p>
        </w:tc>
      </w:tr>
      <w:tr w:rsidR="0053654B" w:rsidRPr="00D16B79" w14:paraId="6D537705" w14:textId="77777777" w:rsidTr="0053654B">
        <w:trPr>
          <w:trHeight w:val="107"/>
        </w:trPr>
        <w:tc>
          <w:tcPr>
            <w:tcW w:w="2547" w:type="dxa"/>
            <w:hideMark/>
          </w:tcPr>
          <w:p w14:paraId="7ECAA8BD" w14:textId="77777777" w:rsidR="0053654B" w:rsidRPr="00D16B79" w:rsidRDefault="0053654B" w:rsidP="0053654B">
            <w:pPr>
              <w:spacing w:afterLines="24" w:after="57"/>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Observations</w:t>
            </w:r>
          </w:p>
        </w:tc>
        <w:tc>
          <w:tcPr>
            <w:tcW w:w="1700" w:type="dxa"/>
          </w:tcPr>
          <w:p w14:paraId="3FB85551"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36,581,629</w:t>
            </w:r>
          </w:p>
        </w:tc>
        <w:tc>
          <w:tcPr>
            <w:tcW w:w="1701" w:type="dxa"/>
            <w:hideMark/>
          </w:tcPr>
          <w:p w14:paraId="1DADEB9B"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29,312,352</w:t>
            </w:r>
          </w:p>
        </w:tc>
        <w:tc>
          <w:tcPr>
            <w:tcW w:w="1849" w:type="dxa"/>
            <w:hideMark/>
          </w:tcPr>
          <w:p w14:paraId="3434515B"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6,050,667</w:t>
            </w:r>
          </w:p>
        </w:tc>
        <w:tc>
          <w:tcPr>
            <w:tcW w:w="1553" w:type="dxa"/>
            <w:hideMark/>
          </w:tcPr>
          <w:p w14:paraId="5621E4CD"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1,218,610</w:t>
            </w:r>
          </w:p>
        </w:tc>
      </w:tr>
      <w:tr w:rsidR="0053654B" w:rsidRPr="00D16B79" w14:paraId="415D3FDF" w14:textId="77777777" w:rsidTr="0053654B">
        <w:trPr>
          <w:trHeight w:val="127"/>
        </w:trPr>
        <w:tc>
          <w:tcPr>
            <w:tcW w:w="2547" w:type="dxa"/>
            <w:hideMark/>
          </w:tcPr>
          <w:p w14:paraId="3609DFE5" w14:textId="77777777" w:rsidR="0053654B" w:rsidRPr="00D16B79" w:rsidRDefault="0053654B" w:rsidP="0053654B">
            <w:pPr>
              <w:spacing w:afterLines="24" w:after="57"/>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R</w:t>
            </w:r>
            <w:r w:rsidRPr="00D16B79">
              <w:rPr>
                <w:rFonts w:ascii="Times New Roman" w:eastAsia="Times New Roman" w:hAnsi="Times New Roman"/>
                <w:sz w:val="22"/>
                <w:szCs w:val="22"/>
                <w:vertAlign w:val="superscript"/>
                <w:lang w:val="en-US" w:eastAsia="en-US"/>
              </w:rPr>
              <w:t>2</w:t>
            </w:r>
          </w:p>
        </w:tc>
        <w:tc>
          <w:tcPr>
            <w:tcW w:w="1700" w:type="dxa"/>
          </w:tcPr>
          <w:p w14:paraId="33DF2F61"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0.234</w:t>
            </w:r>
          </w:p>
        </w:tc>
        <w:tc>
          <w:tcPr>
            <w:tcW w:w="1701" w:type="dxa"/>
            <w:hideMark/>
          </w:tcPr>
          <w:p w14:paraId="14297841"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0.251</w:t>
            </w:r>
          </w:p>
        </w:tc>
        <w:tc>
          <w:tcPr>
            <w:tcW w:w="1849" w:type="dxa"/>
            <w:hideMark/>
          </w:tcPr>
          <w:p w14:paraId="15F70B31"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0.375</w:t>
            </w:r>
          </w:p>
        </w:tc>
        <w:tc>
          <w:tcPr>
            <w:tcW w:w="1553" w:type="dxa"/>
            <w:hideMark/>
          </w:tcPr>
          <w:p w14:paraId="41750568" w14:textId="77777777" w:rsidR="0053654B" w:rsidRPr="00D16B79" w:rsidRDefault="0053654B" w:rsidP="0053654B">
            <w:pPr>
              <w:spacing w:afterLines="24" w:after="57"/>
              <w:jc w:val="center"/>
              <w:rPr>
                <w:rFonts w:ascii="Times New Roman" w:eastAsia="Times New Roman" w:hAnsi="Times New Roman"/>
                <w:sz w:val="22"/>
                <w:szCs w:val="22"/>
                <w:lang w:val="en-US" w:eastAsia="en-US"/>
              </w:rPr>
            </w:pPr>
            <w:r w:rsidRPr="00D16B79">
              <w:rPr>
                <w:rFonts w:ascii="Times New Roman" w:eastAsia="Times New Roman" w:hAnsi="Times New Roman"/>
                <w:sz w:val="22"/>
                <w:szCs w:val="22"/>
                <w:lang w:val="en-US" w:eastAsia="en-US"/>
              </w:rPr>
              <w:t>0.446</w:t>
            </w:r>
          </w:p>
        </w:tc>
      </w:tr>
    </w:tbl>
    <w:bookmarkEnd w:id="27"/>
    <w:p w14:paraId="76B48FB6" w14:textId="0FF9150F" w:rsidR="00C66921" w:rsidRPr="00D16B79" w:rsidRDefault="00C66921" w:rsidP="0053654B">
      <w:pPr>
        <w:ind w:right="180"/>
        <w:rPr>
          <w:rFonts w:ascii="Times New Roman" w:eastAsia="Times New Roman" w:hAnsi="Times New Roman"/>
          <w:iCs/>
          <w:sz w:val="18"/>
          <w:szCs w:val="18"/>
          <w:lang w:val="en-US" w:eastAsia="en-US"/>
        </w:rPr>
      </w:pPr>
      <w:r w:rsidRPr="00D16B79">
        <w:rPr>
          <w:rFonts w:ascii="Times New Roman" w:eastAsia="Times New Roman" w:hAnsi="Times New Roman"/>
          <w:i/>
          <w:sz w:val="18"/>
          <w:szCs w:val="18"/>
          <w:lang w:val="en-US" w:eastAsia="en-US"/>
        </w:rPr>
        <w:t>Note:</w:t>
      </w:r>
      <w:r w:rsidR="00675FDC" w:rsidRPr="00D16B79">
        <w:rPr>
          <w:rFonts w:ascii="Times New Roman" w:eastAsia="Times New Roman" w:hAnsi="Times New Roman"/>
          <w:i/>
          <w:sz w:val="18"/>
          <w:szCs w:val="18"/>
          <w:lang w:val="en-US" w:eastAsia="en-US"/>
        </w:rPr>
        <w:t xml:space="preserve"> </w:t>
      </w:r>
      <w:r w:rsidR="00A6034C" w:rsidRPr="00D16B79">
        <w:rPr>
          <w:rFonts w:ascii="Times New Roman" w:eastAsia="Times New Roman" w:hAnsi="Times New Roman"/>
          <w:iCs/>
          <w:sz w:val="18"/>
          <w:szCs w:val="18"/>
          <w:lang w:val="en-US" w:eastAsia="en-US"/>
        </w:rPr>
        <w:t xml:space="preserve">This table shows the </w:t>
      </w:r>
      <w:r w:rsidR="008636AA" w:rsidRPr="00D16B79">
        <w:rPr>
          <w:rFonts w:ascii="Times New Roman" w:eastAsia="Times New Roman" w:hAnsi="Times New Roman"/>
          <w:iCs/>
          <w:sz w:val="18"/>
          <w:szCs w:val="18"/>
          <w:lang w:val="en-US" w:eastAsia="en-US"/>
        </w:rPr>
        <w:t>parameter estimates</w:t>
      </w:r>
      <w:r w:rsidR="00A6034C" w:rsidRPr="00D16B79">
        <w:rPr>
          <w:rFonts w:ascii="Times New Roman" w:eastAsia="Times New Roman" w:hAnsi="Times New Roman"/>
          <w:iCs/>
          <w:sz w:val="18"/>
          <w:szCs w:val="18"/>
          <w:lang w:val="en-US" w:eastAsia="en-US"/>
        </w:rPr>
        <w:t xml:space="preserve"> of the regression analysis based on </w:t>
      </w:r>
      <w:r w:rsidR="00675FDC" w:rsidRPr="00D16B79">
        <w:rPr>
          <w:rFonts w:ascii="Times New Roman" w:eastAsia="Times New Roman" w:hAnsi="Times New Roman"/>
          <w:iCs/>
          <w:sz w:val="18"/>
          <w:szCs w:val="18"/>
          <w:lang w:val="en-US" w:eastAsia="en-US"/>
        </w:rPr>
        <w:t xml:space="preserve">Equation </w:t>
      </w:r>
      <w:r w:rsidR="008636AA" w:rsidRPr="00D16B79">
        <w:rPr>
          <w:rFonts w:ascii="Times New Roman" w:eastAsia="Times New Roman" w:hAnsi="Times New Roman"/>
          <w:iCs/>
          <w:sz w:val="18"/>
          <w:szCs w:val="18"/>
          <w:lang w:val="en-US" w:eastAsia="en-US"/>
        </w:rPr>
        <w:t>1</w:t>
      </w:r>
      <w:r w:rsidR="00A6034C" w:rsidRPr="00D16B79">
        <w:rPr>
          <w:rFonts w:ascii="Times New Roman" w:eastAsia="Times New Roman" w:hAnsi="Times New Roman"/>
          <w:iCs/>
          <w:sz w:val="18"/>
          <w:szCs w:val="18"/>
          <w:lang w:val="en-US" w:eastAsia="en-US"/>
        </w:rPr>
        <w:t>. The dependent</w:t>
      </w:r>
      <w:r w:rsidR="00B91D43" w:rsidRPr="00D16B79">
        <w:rPr>
          <w:rFonts w:ascii="Times New Roman" w:eastAsia="Times New Roman" w:hAnsi="Times New Roman"/>
          <w:iCs/>
          <w:sz w:val="18"/>
          <w:szCs w:val="18"/>
          <w:lang w:val="en-US" w:eastAsia="en-US"/>
        </w:rPr>
        <w:t xml:space="preserve"> </w:t>
      </w:r>
      <w:r w:rsidR="00A6034C" w:rsidRPr="00D16B79">
        <w:rPr>
          <w:rFonts w:ascii="Times New Roman" w:eastAsia="Times New Roman" w:hAnsi="Times New Roman"/>
          <w:iCs/>
          <w:sz w:val="18"/>
          <w:szCs w:val="18"/>
          <w:lang w:val="en-US" w:eastAsia="en-US"/>
        </w:rPr>
        <w:t xml:space="preserve">variable </w:t>
      </w:r>
      <w:r w:rsidR="00AB074F" w:rsidRPr="00D16B79">
        <w:rPr>
          <w:rFonts w:ascii="Times New Roman" w:eastAsia="Times New Roman" w:hAnsi="Times New Roman"/>
          <w:iCs/>
          <w:sz w:val="18"/>
          <w:szCs w:val="18"/>
          <w:lang w:val="en-US" w:eastAsia="en-US"/>
        </w:rPr>
        <w:t xml:space="preserve">was </w:t>
      </w:r>
      <w:r w:rsidR="00CB2CB5" w:rsidRPr="00D16B79">
        <w:rPr>
          <w:rFonts w:ascii="Times New Roman" w:eastAsia="Times New Roman" w:hAnsi="Times New Roman"/>
          <w:iCs/>
          <w:sz w:val="18"/>
          <w:szCs w:val="18"/>
          <w:lang w:val="en-US" w:eastAsia="en-US"/>
        </w:rPr>
        <w:t>log (1+</w:t>
      </w:r>
      <w:r w:rsidR="00CB2CB5" w:rsidRPr="00D16B79">
        <w:rPr>
          <w:rFonts w:eastAsia="Cambria"/>
          <w:bCs/>
          <w:i/>
          <w:iCs/>
          <w:sz w:val="18"/>
          <w:szCs w:val="18"/>
          <w:lang w:val="en-US" w:eastAsia="en-US"/>
        </w:rPr>
        <w:t xml:space="preserve"> </w:t>
      </w:r>
      <w:proofErr w:type="spellStart"/>
      <w:r w:rsidR="006B18A8" w:rsidRPr="00D16B79">
        <w:rPr>
          <w:rFonts w:eastAsia="Cambria"/>
          <w:bCs/>
          <w:i/>
          <w:iCs/>
          <w:sz w:val="18"/>
          <w:szCs w:val="18"/>
          <w:lang w:val="en-US" w:eastAsia="en-US"/>
        </w:rPr>
        <w:t>Donation</w:t>
      </w:r>
      <w:r w:rsidR="00CB2CB5" w:rsidRPr="00D16B79">
        <w:rPr>
          <w:rFonts w:ascii="Times New Roman" w:eastAsia="Calibri" w:hAnsi="Times New Roman"/>
          <w:i/>
          <w:iCs/>
          <w:sz w:val="18"/>
          <w:szCs w:val="18"/>
          <w:vertAlign w:val="subscript"/>
          <w:lang w:val="en-US" w:eastAsia="en-US"/>
        </w:rPr>
        <w:t>j,t</w:t>
      </w:r>
      <w:proofErr w:type="spellEnd"/>
      <w:r w:rsidR="00CB2CB5" w:rsidRPr="00D16B79">
        <w:rPr>
          <w:rFonts w:eastAsia="Cambria"/>
          <w:bCs/>
          <w:sz w:val="18"/>
          <w:szCs w:val="18"/>
          <w:lang w:val="en-US" w:eastAsia="en-US"/>
        </w:rPr>
        <w:t xml:space="preserve">), and the independent variables </w:t>
      </w:r>
      <w:r w:rsidR="00AB074F" w:rsidRPr="00D16B79">
        <w:rPr>
          <w:rFonts w:eastAsia="Cambria"/>
          <w:bCs/>
          <w:sz w:val="18"/>
          <w:szCs w:val="18"/>
          <w:lang w:val="en-US" w:eastAsia="en-US"/>
        </w:rPr>
        <w:t xml:space="preserve">were </w:t>
      </w:r>
      <w:r w:rsidR="00CB2CB5" w:rsidRPr="00D16B79">
        <w:rPr>
          <w:rFonts w:eastAsia="Cambria"/>
          <w:bCs/>
          <w:sz w:val="18"/>
          <w:szCs w:val="18"/>
          <w:lang w:val="en-US" w:eastAsia="en-US"/>
        </w:rPr>
        <w:t>log(1+</w:t>
      </w:r>
      <w:r w:rsidR="00CB2CB5" w:rsidRPr="00D16B79">
        <w:rPr>
          <w:rFonts w:eastAsia="Cambria"/>
          <w:bCs/>
          <w:i/>
          <w:iCs/>
          <w:sz w:val="18"/>
          <w:szCs w:val="18"/>
          <w:lang w:val="en-US" w:eastAsia="en-US"/>
        </w:rPr>
        <w:t xml:space="preserve"> Progress</w:t>
      </w:r>
      <w:r w:rsidR="00CB2CB5" w:rsidRPr="00D16B79">
        <w:rPr>
          <w:rFonts w:eastAsia="Cambria"/>
          <w:bCs/>
          <w:i/>
          <w:iCs/>
          <w:sz w:val="18"/>
          <w:szCs w:val="18"/>
          <w:vertAlign w:val="subscript"/>
          <w:lang w:val="en-US" w:eastAsia="en-US"/>
        </w:rPr>
        <w:t>j,t-1</w:t>
      </w:r>
      <w:r w:rsidR="00CB2CB5" w:rsidRPr="00D16B79">
        <w:rPr>
          <w:rFonts w:eastAsia="Cambria"/>
          <w:bCs/>
          <w:sz w:val="18"/>
          <w:szCs w:val="18"/>
          <w:lang w:val="en-US" w:eastAsia="en-US"/>
        </w:rPr>
        <w:t xml:space="preserve">), </w:t>
      </w:r>
      <w:r w:rsidR="00CB2CB5" w:rsidRPr="00D16B79">
        <w:rPr>
          <w:rFonts w:ascii="Times New Roman" w:eastAsia="Times New Roman" w:hAnsi="Times New Roman"/>
          <w:sz w:val="18"/>
          <w:szCs w:val="18"/>
          <w:lang w:val="en-US" w:eastAsia="en-US"/>
        </w:rPr>
        <w:t xml:space="preserve">log(Presentation </w:t>
      </w:r>
      <w:proofErr w:type="spellStart"/>
      <w:r w:rsidR="00CB2CB5" w:rsidRPr="00D16B79">
        <w:rPr>
          <w:rFonts w:ascii="Times New Roman" w:eastAsia="Times New Roman" w:hAnsi="Times New Roman"/>
          <w:sz w:val="18"/>
          <w:szCs w:val="18"/>
          <w:lang w:val="en-US" w:eastAsia="en-US"/>
        </w:rPr>
        <w:t>order</w:t>
      </w:r>
      <w:r w:rsidR="00CB2CB5" w:rsidRPr="00D16B79">
        <w:rPr>
          <w:rFonts w:ascii="Times New Roman" w:eastAsia="Times New Roman" w:hAnsi="Times New Roman"/>
          <w:i/>
          <w:iCs/>
          <w:sz w:val="18"/>
          <w:szCs w:val="18"/>
          <w:vertAlign w:val="subscript"/>
          <w:lang w:val="en-US" w:eastAsia="en-US"/>
        </w:rPr>
        <w:t>j,t</w:t>
      </w:r>
      <w:proofErr w:type="spellEnd"/>
      <w:r w:rsidR="00CB2CB5" w:rsidRPr="00D16B79">
        <w:rPr>
          <w:rFonts w:ascii="Times New Roman" w:eastAsia="Times New Roman" w:hAnsi="Times New Roman"/>
          <w:sz w:val="18"/>
          <w:szCs w:val="18"/>
          <w:lang w:val="en-US" w:eastAsia="en-US"/>
        </w:rPr>
        <w:t>), and</w:t>
      </w:r>
      <w:r w:rsidR="00B91D43" w:rsidRPr="00D16B79">
        <w:rPr>
          <w:rFonts w:ascii="Times New Roman" w:eastAsia="Times New Roman" w:hAnsi="Times New Roman"/>
          <w:iCs/>
          <w:sz w:val="18"/>
          <w:szCs w:val="18"/>
          <w:lang w:val="en-US" w:eastAsia="en-US"/>
        </w:rPr>
        <w:t xml:space="preserve"> </w:t>
      </w:r>
      <w:r w:rsidR="00CB2CB5" w:rsidRPr="00D16B79">
        <w:rPr>
          <w:rFonts w:ascii="Times New Roman" w:eastAsia="Times New Roman" w:hAnsi="Times New Roman"/>
          <w:sz w:val="18"/>
          <w:szCs w:val="18"/>
          <w:lang w:val="en-US" w:eastAsia="en-US"/>
        </w:rPr>
        <w:t xml:space="preserve">log(Remaining # </w:t>
      </w:r>
      <w:proofErr w:type="spellStart"/>
      <w:r w:rsidR="00CB2CB5" w:rsidRPr="00D16B79">
        <w:rPr>
          <w:rFonts w:ascii="Times New Roman" w:eastAsia="Times New Roman" w:hAnsi="Times New Roman"/>
          <w:sz w:val="18"/>
          <w:szCs w:val="18"/>
          <w:lang w:val="en-US" w:eastAsia="en-US"/>
        </w:rPr>
        <w:t>days</w:t>
      </w:r>
      <w:r w:rsidR="00CB2CB5" w:rsidRPr="00D16B79">
        <w:rPr>
          <w:rFonts w:ascii="Times New Roman" w:eastAsia="Times New Roman" w:hAnsi="Times New Roman"/>
          <w:i/>
          <w:iCs/>
          <w:sz w:val="18"/>
          <w:szCs w:val="18"/>
          <w:vertAlign w:val="subscript"/>
          <w:lang w:val="en-US" w:eastAsia="en-US"/>
        </w:rPr>
        <w:t>j,t</w:t>
      </w:r>
      <w:proofErr w:type="spellEnd"/>
      <w:r w:rsidR="00CB2CB5" w:rsidRPr="00D16B79">
        <w:rPr>
          <w:rFonts w:ascii="Times New Roman" w:eastAsia="Times New Roman" w:hAnsi="Times New Roman"/>
          <w:sz w:val="18"/>
          <w:szCs w:val="18"/>
          <w:lang w:val="en-US" w:eastAsia="en-US"/>
        </w:rPr>
        <w:t>)</w:t>
      </w:r>
      <w:r w:rsidR="008636AA" w:rsidRPr="00D16B79">
        <w:rPr>
          <w:rFonts w:ascii="Times New Roman" w:eastAsia="Times New Roman" w:hAnsi="Times New Roman"/>
          <w:sz w:val="18"/>
          <w:szCs w:val="18"/>
          <w:lang w:val="en-US" w:eastAsia="en-US"/>
        </w:rPr>
        <w:t>. The regressions include various fixed</w:t>
      </w:r>
      <w:r w:rsidR="00AB7A11" w:rsidRPr="00D16B79">
        <w:rPr>
          <w:rFonts w:ascii="Times New Roman" w:eastAsia="Times New Roman" w:hAnsi="Times New Roman"/>
          <w:sz w:val="18"/>
          <w:szCs w:val="18"/>
          <w:lang w:val="en-US" w:eastAsia="en-US"/>
        </w:rPr>
        <w:t>-</w:t>
      </w:r>
      <w:r w:rsidR="008636AA" w:rsidRPr="00D16B79">
        <w:rPr>
          <w:rFonts w:ascii="Times New Roman" w:eastAsia="Times New Roman" w:hAnsi="Times New Roman"/>
          <w:sz w:val="18"/>
          <w:szCs w:val="18"/>
          <w:lang w:val="en-US" w:eastAsia="en-US"/>
        </w:rPr>
        <w:t>effects terms suc</w:t>
      </w:r>
      <w:r w:rsidR="00B91D43" w:rsidRPr="00D16B79">
        <w:rPr>
          <w:rFonts w:ascii="Times New Roman" w:eastAsia="Times New Roman" w:hAnsi="Times New Roman"/>
          <w:sz w:val="18"/>
          <w:szCs w:val="18"/>
          <w:lang w:val="en-US" w:eastAsia="en-US"/>
        </w:rPr>
        <w:t xml:space="preserve">h </w:t>
      </w:r>
      <w:r w:rsidR="008636AA" w:rsidRPr="00D16B79">
        <w:rPr>
          <w:rFonts w:ascii="Times New Roman" w:eastAsia="Times New Roman" w:hAnsi="Times New Roman"/>
          <w:sz w:val="18"/>
          <w:szCs w:val="18"/>
          <w:lang w:val="en-US" w:eastAsia="en-US"/>
        </w:rPr>
        <w:t>as project and date-hour</w:t>
      </w:r>
      <w:r w:rsidR="00B91D43" w:rsidRPr="00D16B79">
        <w:rPr>
          <w:rFonts w:ascii="Times New Roman" w:eastAsia="Times New Roman" w:hAnsi="Times New Roman"/>
          <w:sz w:val="18"/>
          <w:szCs w:val="18"/>
          <w:lang w:val="en-US" w:eastAsia="en-US"/>
        </w:rPr>
        <w:t xml:space="preserve"> </w:t>
      </w:r>
      <w:r w:rsidR="008636AA" w:rsidRPr="00D16B79">
        <w:rPr>
          <w:rFonts w:ascii="Times New Roman" w:eastAsia="Times New Roman" w:hAnsi="Times New Roman"/>
          <w:sz w:val="18"/>
          <w:szCs w:val="18"/>
          <w:lang w:val="en-US" w:eastAsia="en-US"/>
        </w:rPr>
        <w:t xml:space="preserve">interacted, </w:t>
      </w:r>
      <w:r w:rsidR="00321CB8" w:rsidRPr="00D16B79">
        <w:rPr>
          <w:rFonts w:ascii="Times New Roman" w:eastAsia="Times New Roman" w:hAnsi="Times New Roman"/>
          <w:sz w:val="18"/>
          <w:szCs w:val="18"/>
          <w:lang w:val="en-US" w:eastAsia="en-US"/>
        </w:rPr>
        <w:t xml:space="preserve">and </w:t>
      </w:r>
      <w:r w:rsidR="008636AA" w:rsidRPr="00D16B79">
        <w:rPr>
          <w:rFonts w:ascii="Times New Roman" w:eastAsia="Times New Roman" w:hAnsi="Times New Roman"/>
          <w:sz w:val="18"/>
          <w:szCs w:val="18"/>
          <w:lang w:val="en-US" w:eastAsia="en-US"/>
        </w:rPr>
        <w:t>time.</w:t>
      </w:r>
      <w:r w:rsidR="00B91D43" w:rsidRPr="00D16B79">
        <w:rPr>
          <w:rFonts w:ascii="Times New Roman" w:eastAsia="Times New Roman" w:hAnsi="Times New Roman"/>
          <w:sz w:val="18"/>
          <w:szCs w:val="18"/>
          <w:lang w:val="en-US" w:eastAsia="en-US"/>
        </w:rPr>
        <w:t xml:space="preserve"> </w:t>
      </w:r>
      <w:r w:rsidR="00022E86" w:rsidRPr="00D16B79">
        <w:rPr>
          <w:rFonts w:ascii="Times New Roman" w:eastAsia="Times New Roman" w:hAnsi="Times New Roman"/>
          <w:sz w:val="18"/>
          <w:szCs w:val="18"/>
          <w:lang w:val="en-US" w:eastAsia="en-US"/>
        </w:rPr>
        <w:t>The hour unit is aggregated to 4 hours in the project-date-hour interacted fixed</w:t>
      </w:r>
      <w:r w:rsidR="00AB7A11" w:rsidRPr="00D16B79">
        <w:rPr>
          <w:rFonts w:ascii="Times New Roman" w:eastAsia="Times New Roman" w:hAnsi="Times New Roman"/>
          <w:sz w:val="18"/>
          <w:szCs w:val="18"/>
          <w:lang w:val="en-US" w:eastAsia="en-US"/>
        </w:rPr>
        <w:t>-</w:t>
      </w:r>
      <w:r w:rsidR="00022E86" w:rsidRPr="00D16B79">
        <w:rPr>
          <w:rFonts w:ascii="Times New Roman" w:eastAsia="Times New Roman" w:hAnsi="Times New Roman"/>
          <w:sz w:val="18"/>
          <w:szCs w:val="18"/>
          <w:lang w:val="en-US" w:eastAsia="en-US"/>
        </w:rPr>
        <w:t>effects term</w:t>
      </w:r>
      <w:r w:rsidR="00B91D43" w:rsidRPr="00D16B79">
        <w:rPr>
          <w:rFonts w:ascii="Times New Roman" w:eastAsia="Times New Roman" w:hAnsi="Times New Roman"/>
          <w:sz w:val="18"/>
          <w:szCs w:val="18"/>
          <w:lang w:val="en-US" w:eastAsia="en-US"/>
        </w:rPr>
        <w:t xml:space="preserve">. </w:t>
      </w:r>
      <w:r w:rsidR="00286A7A" w:rsidRPr="00D16B79">
        <w:rPr>
          <w:rFonts w:ascii="Times New Roman" w:eastAsia="Times New Roman" w:hAnsi="Times New Roman"/>
          <w:sz w:val="18"/>
          <w:szCs w:val="18"/>
          <w:lang w:val="en-US" w:eastAsia="en-US"/>
        </w:rPr>
        <w:t xml:space="preserve">Column (1) contains the result of </w:t>
      </w:r>
      <w:r w:rsidR="00286A7A" w:rsidRPr="00D16B79">
        <w:rPr>
          <w:rFonts w:eastAsia="Batang" w:cstheme="minorHAnsi"/>
          <w:sz w:val="18"/>
          <w:szCs w:val="18"/>
          <w:lang w:val="en-US" w:eastAsia="ko-KR"/>
        </w:rPr>
        <w:t xml:space="preserve">the </w:t>
      </w:r>
      <w:r w:rsidR="0088189C" w:rsidRPr="00D16B79">
        <w:rPr>
          <w:rFonts w:eastAsia="Batang" w:cstheme="minorHAnsi"/>
          <w:sz w:val="18"/>
          <w:szCs w:val="18"/>
          <w:lang w:val="en-US" w:eastAsia="ko-KR"/>
        </w:rPr>
        <w:t xml:space="preserve">full sample, </w:t>
      </w:r>
      <w:r w:rsidR="00022E86" w:rsidRPr="00D16B79">
        <w:rPr>
          <w:rFonts w:eastAsia="Batang" w:cstheme="minorHAnsi"/>
          <w:sz w:val="18"/>
          <w:szCs w:val="18"/>
          <w:lang w:val="en-US" w:eastAsia="ko-KR"/>
        </w:rPr>
        <w:t xml:space="preserve">and </w:t>
      </w:r>
      <w:r w:rsidR="0088189C" w:rsidRPr="00D16B79">
        <w:rPr>
          <w:rFonts w:eastAsia="Batang" w:cstheme="minorHAnsi"/>
          <w:sz w:val="18"/>
          <w:szCs w:val="18"/>
          <w:lang w:val="en-US" w:eastAsia="ko-KR"/>
        </w:rPr>
        <w:t>column</w:t>
      </w:r>
      <w:r w:rsidR="00AB7A11" w:rsidRPr="00D16B79">
        <w:rPr>
          <w:rFonts w:eastAsia="Batang" w:cstheme="minorHAnsi"/>
          <w:sz w:val="18"/>
          <w:szCs w:val="18"/>
          <w:lang w:val="en-US" w:eastAsia="ko-KR"/>
        </w:rPr>
        <w:t>s</w:t>
      </w:r>
      <w:r w:rsidR="00B91D43" w:rsidRPr="00D16B79">
        <w:rPr>
          <w:rFonts w:eastAsia="Batang" w:cstheme="minorHAnsi"/>
          <w:sz w:val="18"/>
          <w:szCs w:val="18"/>
          <w:lang w:val="en-US" w:eastAsia="ko-KR"/>
        </w:rPr>
        <w:t xml:space="preserve"> </w:t>
      </w:r>
      <w:r w:rsidR="0088189C" w:rsidRPr="00D16B79">
        <w:rPr>
          <w:rFonts w:eastAsia="Batang" w:cstheme="minorHAnsi"/>
          <w:sz w:val="18"/>
          <w:szCs w:val="18"/>
          <w:lang w:val="en-US" w:eastAsia="ko-KR"/>
        </w:rPr>
        <w:t>(2) to (4)</w:t>
      </w:r>
      <w:r w:rsidR="008636AA" w:rsidRPr="00D16B79">
        <w:rPr>
          <w:rFonts w:ascii="Times New Roman" w:eastAsia="Times New Roman" w:hAnsi="Times New Roman"/>
          <w:sz w:val="18"/>
          <w:szCs w:val="18"/>
          <w:lang w:val="en-US" w:eastAsia="en-US"/>
        </w:rPr>
        <w:t xml:space="preserve"> </w:t>
      </w:r>
      <w:r w:rsidR="00B91D43" w:rsidRPr="00D16B79">
        <w:rPr>
          <w:rFonts w:ascii="Times New Roman" w:eastAsia="Times New Roman" w:hAnsi="Times New Roman"/>
          <w:iCs/>
          <w:sz w:val="18"/>
          <w:szCs w:val="18"/>
          <w:lang w:val="en-US" w:eastAsia="en-US"/>
        </w:rPr>
        <w:t xml:space="preserve"> </w:t>
      </w:r>
      <w:r w:rsidR="00B91D43" w:rsidRPr="00D16B79">
        <w:rPr>
          <w:rFonts w:ascii="Times New Roman" w:eastAsia="Times New Roman" w:hAnsi="Times New Roman"/>
          <w:sz w:val="18"/>
          <w:szCs w:val="18"/>
          <w:lang w:val="en-US" w:eastAsia="en-US"/>
        </w:rPr>
        <w:t xml:space="preserve">contain the result of the low, middle, and high group, respectively. </w:t>
      </w:r>
      <w:r w:rsidRPr="00D16B79">
        <w:rPr>
          <w:rFonts w:ascii="Times New Roman" w:eastAsia="Times New Roman" w:hAnsi="Times New Roman"/>
          <w:iCs/>
          <w:sz w:val="18"/>
          <w:szCs w:val="18"/>
          <w:lang w:val="en-US" w:eastAsia="en-US"/>
        </w:rPr>
        <w:t>All</w:t>
      </w:r>
      <w:r w:rsidR="00022E86" w:rsidRPr="00D16B79">
        <w:rPr>
          <w:rFonts w:ascii="Times New Roman" w:eastAsia="Times New Roman" w:hAnsi="Times New Roman"/>
          <w:iCs/>
          <w:sz w:val="18"/>
          <w:szCs w:val="18"/>
          <w:lang w:val="en-US" w:eastAsia="en-US"/>
        </w:rPr>
        <w:t xml:space="preserve"> </w:t>
      </w:r>
      <w:r w:rsidRPr="00D16B79">
        <w:rPr>
          <w:rFonts w:ascii="Times New Roman" w:eastAsia="Times New Roman" w:hAnsi="Times New Roman"/>
          <w:iCs/>
          <w:sz w:val="18"/>
          <w:szCs w:val="18"/>
          <w:lang w:val="en-US" w:eastAsia="en-US"/>
        </w:rPr>
        <w:t>standard errors are clustered at</w:t>
      </w:r>
      <w:r w:rsidR="00B91D43" w:rsidRPr="00D16B79">
        <w:rPr>
          <w:rFonts w:ascii="Times New Roman" w:eastAsia="Times New Roman" w:hAnsi="Times New Roman"/>
          <w:iCs/>
          <w:sz w:val="18"/>
          <w:szCs w:val="18"/>
          <w:lang w:val="en-US" w:eastAsia="en-US"/>
        </w:rPr>
        <w:t xml:space="preserve"> </w:t>
      </w:r>
      <w:r w:rsidRPr="00D16B79">
        <w:rPr>
          <w:rFonts w:ascii="Times New Roman" w:eastAsia="Times New Roman" w:hAnsi="Times New Roman"/>
          <w:iCs/>
          <w:sz w:val="18"/>
          <w:szCs w:val="18"/>
          <w:lang w:val="en-US" w:eastAsia="en-US"/>
        </w:rPr>
        <w:t xml:space="preserve">the </w:t>
      </w:r>
      <w:r w:rsidR="0019104F" w:rsidRPr="00D16B79">
        <w:rPr>
          <w:rFonts w:ascii="Times New Roman" w:eastAsia="Times New Roman" w:hAnsi="Times New Roman"/>
          <w:iCs/>
          <w:sz w:val="18"/>
          <w:szCs w:val="18"/>
          <w:lang w:val="en-US" w:eastAsia="en-US"/>
        </w:rPr>
        <w:t>project</w:t>
      </w:r>
      <w:r w:rsidR="00AB7A11" w:rsidRPr="00D16B79">
        <w:rPr>
          <w:rFonts w:ascii="Times New Roman" w:eastAsia="Times New Roman" w:hAnsi="Times New Roman"/>
          <w:iCs/>
          <w:sz w:val="18"/>
          <w:szCs w:val="18"/>
          <w:lang w:val="en-US" w:eastAsia="en-US"/>
        </w:rPr>
        <w:t xml:space="preserve"> </w:t>
      </w:r>
      <w:r w:rsidRPr="00D16B79">
        <w:rPr>
          <w:rFonts w:ascii="Times New Roman" w:eastAsia="Times New Roman" w:hAnsi="Times New Roman"/>
          <w:iCs/>
          <w:sz w:val="18"/>
          <w:szCs w:val="18"/>
          <w:lang w:val="en-US" w:eastAsia="en-US"/>
        </w:rPr>
        <w:t>level</w:t>
      </w:r>
      <w:r w:rsidR="00760D49" w:rsidRPr="00D16B79">
        <w:rPr>
          <w:rFonts w:ascii="Times New Roman" w:eastAsia="Times New Roman" w:hAnsi="Times New Roman"/>
          <w:iCs/>
          <w:sz w:val="18"/>
          <w:szCs w:val="18"/>
          <w:lang w:val="en-US" w:eastAsia="en-US"/>
        </w:rPr>
        <w:t>. *</w:t>
      </w:r>
      <w:r w:rsidR="00760D49" w:rsidRPr="00D16B79">
        <w:rPr>
          <w:rFonts w:ascii="Times New Roman" w:eastAsia="Times New Roman" w:hAnsi="Times New Roman"/>
          <w:i/>
          <w:sz w:val="18"/>
          <w:szCs w:val="18"/>
          <w:lang w:val="en-US" w:eastAsia="en-US"/>
        </w:rPr>
        <w:t>p</w:t>
      </w:r>
      <w:r w:rsidR="00AB7A11" w:rsidRPr="00D16B79">
        <w:rPr>
          <w:rFonts w:ascii="Times New Roman" w:eastAsia="Times New Roman" w:hAnsi="Times New Roman"/>
          <w:iCs/>
          <w:sz w:val="18"/>
          <w:szCs w:val="18"/>
          <w:lang w:val="en-US" w:eastAsia="en-US"/>
        </w:rPr>
        <w:t xml:space="preserve"> </w:t>
      </w:r>
      <w:r w:rsidR="00760D49" w:rsidRPr="00D16B79">
        <w:rPr>
          <w:rFonts w:ascii="Times New Roman" w:eastAsia="Times New Roman" w:hAnsi="Times New Roman"/>
          <w:iCs/>
          <w:sz w:val="18"/>
          <w:szCs w:val="18"/>
          <w:lang w:val="en-US" w:eastAsia="en-US"/>
        </w:rPr>
        <w:t>&lt;</w:t>
      </w:r>
      <w:r w:rsidR="00AB7A11" w:rsidRPr="00D16B79">
        <w:rPr>
          <w:rFonts w:ascii="Times New Roman" w:eastAsia="Times New Roman" w:hAnsi="Times New Roman"/>
          <w:iCs/>
          <w:sz w:val="18"/>
          <w:szCs w:val="18"/>
          <w:lang w:val="en-US" w:eastAsia="en-US"/>
        </w:rPr>
        <w:t xml:space="preserve"> </w:t>
      </w:r>
      <w:r w:rsidR="00760D49" w:rsidRPr="00D16B79">
        <w:rPr>
          <w:rFonts w:ascii="Times New Roman" w:eastAsia="Times New Roman" w:hAnsi="Times New Roman"/>
          <w:iCs/>
          <w:sz w:val="18"/>
          <w:szCs w:val="18"/>
          <w:lang w:val="en-US" w:eastAsia="en-US"/>
        </w:rPr>
        <w:t>.1</w:t>
      </w:r>
      <w:r w:rsidR="00026F54" w:rsidRPr="00D16B79">
        <w:rPr>
          <w:rFonts w:ascii="Times New Roman" w:eastAsia="Times New Roman" w:hAnsi="Times New Roman"/>
          <w:iCs/>
          <w:sz w:val="18"/>
          <w:szCs w:val="18"/>
          <w:lang w:val="en-US" w:eastAsia="en-US"/>
        </w:rPr>
        <w:t>0</w:t>
      </w:r>
      <w:r w:rsidR="00760D49" w:rsidRPr="00D16B79">
        <w:rPr>
          <w:rFonts w:ascii="Times New Roman" w:eastAsia="Times New Roman" w:hAnsi="Times New Roman"/>
          <w:iCs/>
          <w:sz w:val="18"/>
          <w:szCs w:val="18"/>
          <w:lang w:val="en-US" w:eastAsia="en-US"/>
        </w:rPr>
        <w:t>; **</w:t>
      </w:r>
      <w:r w:rsidR="00760D49" w:rsidRPr="00D16B79">
        <w:rPr>
          <w:rFonts w:ascii="Times New Roman" w:eastAsia="Times New Roman" w:hAnsi="Times New Roman"/>
          <w:i/>
          <w:sz w:val="18"/>
          <w:szCs w:val="18"/>
          <w:lang w:val="en-US" w:eastAsia="en-US"/>
        </w:rPr>
        <w:t>p</w:t>
      </w:r>
      <w:r w:rsidR="00AB7A11" w:rsidRPr="00D16B79">
        <w:rPr>
          <w:rFonts w:ascii="Times New Roman" w:eastAsia="Times New Roman" w:hAnsi="Times New Roman"/>
          <w:iCs/>
          <w:sz w:val="18"/>
          <w:szCs w:val="18"/>
          <w:lang w:val="en-US" w:eastAsia="en-US"/>
        </w:rPr>
        <w:t xml:space="preserve"> </w:t>
      </w:r>
      <w:r w:rsidR="00760D49" w:rsidRPr="00D16B79">
        <w:rPr>
          <w:rFonts w:ascii="Times New Roman" w:eastAsia="Times New Roman" w:hAnsi="Times New Roman"/>
          <w:iCs/>
          <w:sz w:val="18"/>
          <w:szCs w:val="18"/>
          <w:lang w:val="en-US" w:eastAsia="en-US"/>
        </w:rPr>
        <w:t>&lt;</w:t>
      </w:r>
      <w:r w:rsidR="00AB7A11" w:rsidRPr="00D16B79">
        <w:rPr>
          <w:rFonts w:ascii="Times New Roman" w:eastAsia="Times New Roman" w:hAnsi="Times New Roman"/>
          <w:iCs/>
          <w:sz w:val="18"/>
          <w:szCs w:val="18"/>
          <w:lang w:val="en-US" w:eastAsia="en-US"/>
        </w:rPr>
        <w:t xml:space="preserve"> </w:t>
      </w:r>
      <w:r w:rsidR="00760D49" w:rsidRPr="00D16B79">
        <w:rPr>
          <w:rFonts w:ascii="Times New Roman" w:eastAsia="Times New Roman" w:hAnsi="Times New Roman"/>
          <w:iCs/>
          <w:sz w:val="18"/>
          <w:szCs w:val="18"/>
          <w:lang w:val="en-US" w:eastAsia="en-US"/>
        </w:rPr>
        <w:t>.05; ***</w:t>
      </w:r>
      <w:r w:rsidR="00760D49" w:rsidRPr="00D16B79">
        <w:rPr>
          <w:rFonts w:ascii="Times New Roman" w:eastAsia="Times New Roman" w:hAnsi="Times New Roman"/>
          <w:i/>
          <w:sz w:val="18"/>
          <w:szCs w:val="18"/>
          <w:lang w:val="en-US" w:eastAsia="en-US"/>
        </w:rPr>
        <w:t>p</w:t>
      </w:r>
      <w:r w:rsidR="00AB7A11" w:rsidRPr="00D16B79">
        <w:rPr>
          <w:rFonts w:ascii="Times New Roman" w:eastAsia="Times New Roman" w:hAnsi="Times New Roman"/>
          <w:iCs/>
          <w:sz w:val="18"/>
          <w:szCs w:val="18"/>
          <w:lang w:val="en-US" w:eastAsia="en-US"/>
        </w:rPr>
        <w:t xml:space="preserve"> </w:t>
      </w:r>
      <w:r w:rsidR="00760D49" w:rsidRPr="00D16B79">
        <w:rPr>
          <w:rFonts w:ascii="Times New Roman" w:eastAsia="Times New Roman" w:hAnsi="Times New Roman"/>
          <w:iCs/>
          <w:sz w:val="18"/>
          <w:szCs w:val="18"/>
          <w:lang w:val="en-US" w:eastAsia="en-US"/>
        </w:rPr>
        <w:t>&lt;</w:t>
      </w:r>
      <w:r w:rsidR="00AB7A11" w:rsidRPr="00D16B79">
        <w:rPr>
          <w:rFonts w:ascii="Times New Roman" w:eastAsia="Times New Roman" w:hAnsi="Times New Roman"/>
          <w:iCs/>
          <w:sz w:val="18"/>
          <w:szCs w:val="18"/>
          <w:lang w:val="en-US" w:eastAsia="en-US"/>
        </w:rPr>
        <w:t xml:space="preserve"> </w:t>
      </w:r>
      <w:r w:rsidR="00760D49" w:rsidRPr="00D16B79">
        <w:rPr>
          <w:rFonts w:ascii="Times New Roman" w:eastAsia="Times New Roman" w:hAnsi="Times New Roman"/>
          <w:iCs/>
          <w:sz w:val="18"/>
          <w:szCs w:val="18"/>
          <w:lang w:val="en-US" w:eastAsia="en-US"/>
        </w:rPr>
        <w:t>.01</w:t>
      </w:r>
      <w:r w:rsidR="00372984" w:rsidRPr="00D16B79">
        <w:rPr>
          <w:rFonts w:ascii="Times New Roman" w:eastAsia="Times New Roman" w:hAnsi="Times New Roman"/>
          <w:iCs/>
          <w:sz w:val="18"/>
          <w:szCs w:val="18"/>
          <w:lang w:val="en-US" w:eastAsia="en-US"/>
        </w:rPr>
        <w:t>.</w:t>
      </w:r>
    </w:p>
    <w:p w14:paraId="00F23051" w14:textId="77777777" w:rsidR="006967FF" w:rsidRPr="00D16B79" w:rsidRDefault="006967FF" w:rsidP="0053654B">
      <w:pPr>
        <w:ind w:right="180"/>
        <w:rPr>
          <w:rFonts w:ascii="Times New Roman" w:eastAsia="Times New Roman" w:hAnsi="Times New Roman"/>
          <w:iCs/>
          <w:sz w:val="18"/>
          <w:szCs w:val="18"/>
          <w:lang w:val="en-US" w:eastAsia="en-US"/>
        </w:rPr>
      </w:pPr>
    </w:p>
    <w:p w14:paraId="2B819EBA" w14:textId="666FA166" w:rsidR="00D60E75" w:rsidRPr="00D16B79" w:rsidRDefault="00D60E75" w:rsidP="00232565">
      <w:pPr>
        <w:spacing w:line="480" w:lineRule="auto"/>
        <w:ind w:firstLine="720"/>
        <w:rPr>
          <w:lang w:val="en-US"/>
        </w:rPr>
      </w:pPr>
      <w:r w:rsidRPr="00D16B79">
        <w:rPr>
          <w:rFonts w:ascii="Times New Roman" w:eastAsia="Times New Roman" w:hAnsi="Times New Roman"/>
          <w:lang w:val="en-US" w:eastAsia="en-US"/>
        </w:rPr>
        <w:t xml:space="preserve">Table 2 </w:t>
      </w:r>
      <w:bookmarkStart w:id="28" w:name="_Hlk132714668"/>
      <w:r w:rsidRPr="00D16B79">
        <w:rPr>
          <w:rFonts w:ascii="Times New Roman" w:eastAsia="Times New Roman" w:hAnsi="Times New Roman"/>
          <w:lang w:val="en-US" w:eastAsia="en-US"/>
        </w:rPr>
        <w:t xml:space="preserve">presents results of regression analyses based on </w:t>
      </w:r>
      <w:r w:rsidR="00081A42" w:rsidRPr="00D16B79">
        <w:rPr>
          <w:rFonts w:ascii="Times New Roman" w:eastAsia="Times New Roman" w:hAnsi="Times New Roman"/>
          <w:lang w:val="en-US" w:eastAsia="en-US"/>
        </w:rPr>
        <w:t>E</w:t>
      </w:r>
      <w:r w:rsidRPr="00D16B79">
        <w:rPr>
          <w:rFonts w:ascii="Times New Roman" w:eastAsia="Times New Roman" w:hAnsi="Times New Roman"/>
          <w:lang w:val="en-US" w:eastAsia="en-US"/>
        </w:rPr>
        <w:t>quation (1). Column (1) shows the parameter estimates from the analysis with the entire sample, and columns (2) to (4) show the parameter estimates for the low, middle, and high groups, respectively.</w:t>
      </w:r>
      <w:bookmarkEnd w:id="28"/>
      <w:r w:rsidRPr="00D16B79">
        <w:rPr>
          <w:lang w:val="en-US"/>
        </w:rPr>
        <w:t xml:space="preserve"> Notably, </w:t>
      </w:r>
      <w:bookmarkStart w:id="29" w:name="_Hlk132714704"/>
      <w:r w:rsidRPr="00D16B79">
        <w:rPr>
          <w:lang w:val="en-US"/>
        </w:rPr>
        <w:t xml:space="preserve">the coefficient of </w:t>
      </w:r>
      <w:r w:rsidRPr="00D16B79">
        <w:rPr>
          <w:rFonts w:eastAsia="Cambria"/>
          <w:bCs/>
          <w:i/>
          <w:iCs/>
          <w:lang w:val="en-US" w:eastAsia="en-US"/>
        </w:rPr>
        <w:t>Progress</w:t>
      </w:r>
      <w:r w:rsidRPr="00D16B79">
        <w:rPr>
          <w:rFonts w:eastAsia="Cambria"/>
          <w:bCs/>
          <w:i/>
          <w:iCs/>
          <w:vertAlign w:val="subscript"/>
          <w:lang w:val="en-US" w:eastAsia="en-US"/>
        </w:rPr>
        <w:t>j,t-1</w:t>
      </w:r>
      <w:r w:rsidRPr="00D16B79">
        <w:rPr>
          <w:lang w:val="en-US"/>
        </w:rPr>
        <w:t xml:space="preserve"> is negative and significant, indicating that a 1% increase in goal progress has a negative effect on subsequent donations, reducing them by 0.02%. This impact is strongest for projects with higher goal progress (i.e., more than 66%), where a 1% increase in goal progress reduces subsequent donations by 0.19%. </w:t>
      </w:r>
      <w:bookmarkEnd w:id="29"/>
      <w:r w:rsidRPr="00D16B79">
        <w:rPr>
          <w:lang w:val="en-US"/>
        </w:rPr>
        <w:t xml:space="preserve">On the other hand, projects with lower goal progress (i.e., less than 33%) show a smaller negative effect, reducing subsequent donations by only </w:t>
      </w:r>
      <w:r w:rsidRPr="00D16B79">
        <w:rPr>
          <w:lang w:val="en-US"/>
        </w:rPr>
        <w:lastRenderedPageBreak/>
        <w:t xml:space="preserve">0.03%. Thus, along with the </w:t>
      </w:r>
      <w:r w:rsidR="00081A42" w:rsidRPr="00D16B79">
        <w:rPr>
          <w:lang w:val="en-US"/>
        </w:rPr>
        <w:t>results of</w:t>
      </w:r>
      <w:r w:rsidRPr="00D16B79">
        <w:rPr>
          <w:lang w:val="en-US"/>
        </w:rPr>
        <w:t xml:space="preserve"> our experimental studies, these findings provide converging evidence that charitable fundraising projects receive more funds when they are farther </w:t>
      </w:r>
      <w:r w:rsidR="00AA0090">
        <w:rPr>
          <w:lang w:val="en-US"/>
        </w:rPr>
        <w:t>from rather than</w:t>
      </w:r>
      <w:r w:rsidRPr="00D16B79">
        <w:rPr>
          <w:lang w:val="en-US"/>
        </w:rPr>
        <w:t xml:space="preserve"> closer</w:t>
      </w:r>
      <w:r w:rsidR="00AA0090">
        <w:rPr>
          <w:lang w:val="en-US"/>
        </w:rPr>
        <w:t xml:space="preserve"> to their goal</w:t>
      </w:r>
      <w:r w:rsidRPr="00D16B79">
        <w:rPr>
          <w:lang w:val="en-US"/>
        </w:rPr>
        <w:t>, after holding other factors constant.</w:t>
      </w:r>
    </w:p>
    <w:p w14:paraId="127BD5DC" w14:textId="77777777" w:rsidR="00D60E75" w:rsidRPr="00D16B79" w:rsidRDefault="00D60E75" w:rsidP="00232565">
      <w:pPr>
        <w:spacing w:line="480" w:lineRule="auto"/>
        <w:ind w:firstLine="720"/>
        <w:rPr>
          <w:lang w:val="en-US"/>
        </w:rPr>
      </w:pPr>
    </w:p>
    <w:p w14:paraId="4652A8E9" w14:textId="4743FE7E" w:rsidR="002713D9" w:rsidRPr="00D16B79" w:rsidRDefault="00942715" w:rsidP="00232565">
      <w:pPr>
        <w:pStyle w:val="Heading1"/>
      </w:pPr>
      <w:bookmarkStart w:id="30" w:name="_7gp66rin3yuw" w:colFirst="0" w:colLast="0"/>
      <w:bookmarkEnd w:id="30"/>
      <w:r w:rsidRPr="00D16B79">
        <w:t>GENERAL DISCUSSION</w:t>
      </w:r>
    </w:p>
    <w:p w14:paraId="1DD85A46" w14:textId="77777777" w:rsidR="002713D9" w:rsidRPr="00D16B79" w:rsidRDefault="002713D9" w:rsidP="00232565">
      <w:pPr>
        <w:spacing w:line="480" w:lineRule="auto"/>
        <w:rPr>
          <w:lang w:val="en-US"/>
        </w:rPr>
      </w:pPr>
    </w:p>
    <w:p w14:paraId="6C26C86F" w14:textId="05D2CF99" w:rsidR="002713D9" w:rsidRPr="00D16B79" w:rsidRDefault="002713D9" w:rsidP="00232565">
      <w:pPr>
        <w:spacing w:line="480" w:lineRule="auto"/>
        <w:ind w:firstLine="720"/>
        <w:rPr>
          <w:lang w:val="en-US"/>
        </w:rPr>
      </w:pPr>
      <w:bookmarkStart w:id="31" w:name="_Hlk72488718"/>
      <w:r w:rsidRPr="00D16B79">
        <w:rPr>
          <w:lang w:val="en-US"/>
        </w:rPr>
        <w:t xml:space="preserve">Across </w:t>
      </w:r>
      <w:r w:rsidR="001108C7" w:rsidRPr="00D16B79">
        <w:rPr>
          <w:lang w:val="en-US"/>
        </w:rPr>
        <w:t>six</w:t>
      </w:r>
      <w:r w:rsidR="00C73179" w:rsidRPr="00D16B79">
        <w:rPr>
          <w:lang w:val="en-US"/>
        </w:rPr>
        <w:t xml:space="preserve"> main</w:t>
      </w:r>
      <w:r w:rsidR="005647FC" w:rsidRPr="00D16B79">
        <w:rPr>
          <w:lang w:val="en-US"/>
        </w:rPr>
        <w:t xml:space="preserve"> preregistered experiments,</w:t>
      </w:r>
      <w:r w:rsidR="00C73179" w:rsidRPr="00D16B79">
        <w:rPr>
          <w:lang w:val="en-US"/>
        </w:rPr>
        <w:t xml:space="preserve"> </w:t>
      </w:r>
      <w:r w:rsidR="001108C7" w:rsidRPr="00D16B79">
        <w:rPr>
          <w:lang w:val="en-US"/>
        </w:rPr>
        <w:t>seven</w:t>
      </w:r>
      <w:r w:rsidR="00C73179" w:rsidRPr="00D16B79">
        <w:rPr>
          <w:lang w:val="en-US"/>
        </w:rPr>
        <w:t xml:space="preserve"> supplemental studies </w:t>
      </w:r>
      <w:r w:rsidRPr="00D16B79">
        <w:rPr>
          <w:lang w:val="en-US"/>
        </w:rPr>
        <w:t xml:space="preserve">and one </w:t>
      </w:r>
      <w:r w:rsidR="001D5DBB" w:rsidRPr="00D16B79">
        <w:rPr>
          <w:lang w:val="en-US"/>
        </w:rPr>
        <w:t>secondary</w:t>
      </w:r>
      <w:r w:rsidR="004D07CA" w:rsidRPr="00D16B79">
        <w:rPr>
          <w:lang w:val="en-US"/>
        </w:rPr>
        <w:t xml:space="preserve"> </w:t>
      </w:r>
      <w:r w:rsidR="001D5DBB" w:rsidRPr="00D16B79">
        <w:rPr>
          <w:lang w:val="en-US"/>
        </w:rPr>
        <w:t xml:space="preserve">field </w:t>
      </w:r>
      <w:r w:rsidRPr="00D16B79">
        <w:rPr>
          <w:lang w:val="en-US"/>
        </w:rPr>
        <w:t xml:space="preserve">dataset we find converging evidence that people donate more to a charity </w:t>
      </w:r>
      <w:r w:rsidR="003C404E" w:rsidRPr="00D16B79">
        <w:rPr>
          <w:lang w:val="en-US"/>
        </w:rPr>
        <w:t>farther</w:t>
      </w:r>
      <w:r w:rsidRPr="00D16B79">
        <w:rPr>
          <w:lang w:val="en-US"/>
        </w:rPr>
        <w:t xml:space="preserve"> from its goal when it is presented </w:t>
      </w:r>
      <w:r w:rsidR="00F80BB5" w:rsidRPr="00D16B79">
        <w:rPr>
          <w:lang w:val="en-US"/>
        </w:rPr>
        <w:t>together</w:t>
      </w:r>
      <w:r w:rsidRPr="00D16B79">
        <w:rPr>
          <w:lang w:val="en-US"/>
        </w:rPr>
        <w:t xml:space="preserve"> with a charity close</w:t>
      </w:r>
      <w:r w:rsidR="00815D35" w:rsidRPr="00D16B79">
        <w:rPr>
          <w:lang w:val="en-US"/>
        </w:rPr>
        <w:t>r</w:t>
      </w:r>
      <w:r w:rsidRPr="00D16B79">
        <w:rPr>
          <w:lang w:val="en-US"/>
        </w:rPr>
        <w:t xml:space="preserve"> to its goal. </w:t>
      </w:r>
      <w:r w:rsidR="00196653" w:rsidRPr="00D16B79">
        <w:rPr>
          <w:lang w:val="en-US"/>
        </w:rPr>
        <w:t xml:space="preserve">We </w:t>
      </w:r>
      <w:r w:rsidR="00C64EFF" w:rsidRPr="00D16B79">
        <w:rPr>
          <w:lang w:val="en-US"/>
        </w:rPr>
        <w:t>find</w:t>
      </w:r>
      <w:r w:rsidRPr="00D16B79">
        <w:rPr>
          <w:lang w:val="en-US"/>
        </w:rPr>
        <w:t xml:space="preserve"> that </w:t>
      </w:r>
      <w:r w:rsidR="00343080" w:rsidRPr="00D16B79">
        <w:rPr>
          <w:lang w:val="en-US"/>
        </w:rPr>
        <w:t>th</w:t>
      </w:r>
      <w:r w:rsidR="00800BF6" w:rsidRPr="00D16B79">
        <w:rPr>
          <w:lang w:val="en-US"/>
        </w:rPr>
        <w:t>is</w:t>
      </w:r>
      <w:r w:rsidR="00343080" w:rsidRPr="00D16B79">
        <w:rPr>
          <w:lang w:val="en-US"/>
        </w:rPr>
        <w:t xml:space="preserve"> closing</w:t>
      </w:r>
      <w:r w:rsidR="00800BF6" w:rsidRPr="00D16B79">
        <w:rPr>
          <w:lang w:val="en-US"/>
        </w:rPr>
        <w:t>-</w:t>
      </w:r>
      <w:r w:rsidR="00343080" w:rsidRPr="00D16B79">
        <w:rPr>
          <w:lang w:val="en-US"/>
        </w:rPr>
        <w:t>the</w:t>
      </w:r>
      <w:r w:rsidR="00800BF6" w:rsidRPr="00D16B79">
        <w:rPr>
          <w:lang w:val="en-US"/>
        </w:rPr>
        <w:t>-</w:t>
      </w:r>
      <w:r w:rsidR="00343080" w:rsidRPr="00D16B79">
        <w:rPr>
          <w:lang w:val="en-US"/>
        </w:rPr>
        <w:t xml:space="preserve">gap effect </w:t>
      </w:r>
      <w:r w:rsidRPr="00D16B79">
        <w:rPr>
          <w:lang w:val="en-US"/>
        </w:rPr>
        <w:t>is driven by perceptions of</w:t>
      </w:r>
      <w:r w:rsidR="00AC0AE0" w:rsidRPr="00D16B79">
        <w:rPr>
          <w:lang w:val="en-US"/>
        </w:rPr>
        <w:t xml:space="preserve"> relative</w:t>
      </w:r>
      <w:r w:rsidRPr="00D16B79">
        <w:rPr>
          <w:lang w:val="en-US"/>
        </w:rPr>
        <w:t xml:space="preserve"> need</w:t>
      </w:r>
      <w:r w:rsidR="00A718EB" w:rsidRPr="00D16B79">
        <w:rPr>
          <w:lang w:val="en-US"/>
        </w:rPr>
        <w:t xml:space="preserve"> </w:t>
      </w:r>
      <w:r w:rsidR="00836DAF" w:rsidRPr="00D16B79">
        <w:rPr>
          <w:lang w:val="en-US"/>
        </w:rPr>
        <w:t>(</w:t>
      </w:r>
      <w:r w:rsidR="00C64EFF" w:rsidRPr="00D16B79">
        <w:rPr>
          <w:lang w:val="en-US"/>
        </w:rPr>
        <w:t>in Studies 1</w:t>
      </w:r>
      <w:r w:rsidR="00F80BB5" w:rsidRPr="00D16B79">
        <w:rPr>
          <w:lang w:val="en-US"/>
        </w:rPr>
        <w:t xml:space="preserve">, </w:t>
      </w:r>
      <w:r w:rsidR="00C64EFF" w:rsidRPr="00D16B79">
        <w:rPr>
          <w:lang w:val="en-US"/>
        </w:rPr>
        <w:t>2</w:t>
      </w:r>
      <w:r w:rsidR="00F80BB5" w:rsidRPr="00D16B79">
        <w:rPr>
          <w:lang w:val="en-US"/>
        </w:rPr>
        <w:t xml:space="preserve"> and </w:t>
      </w:r>
      <w:r w:rsidR="00E53E68">
        <w:rPr>
          <w:lang w:val="en-US"/>
        </w:rPr>
        <w:t>4</w:t>
      </w:r>
      <w:r w:rsidR="00C64EFF" w:rsidRPr="00D16B79">
        <w:rPr>
          <w:lang w:val="en-US"/>
        </w:rPr>
        <w:t xml:space="preserve"> as well as replication studies </w:t>
      </w:r>
      <w:r w:rsidR="00836DAF" w:rsidRPr="00D16B79">
        <w:rPr>
          <w:lang w:val="en-US"/>
        </w:rPr>
        <w:t>SS1 and SS2)</w:t>
      </w:r>
      <w:r w:rsidRPr="00D16B79">
        <w:rPr>
          <w:lang w:val="en-US"/>
        </w:rPr>
        <w:t xml:space="preserve">. </w:t>
      </w:r>
      <w:r w:rsidR="00A718EB" w:rsidRPr="00D16B79">
        <w:rPr>
          <w:lang w:val="en-US"/>
        </w:rPr>
        <w:t>W</w:t>
      </w:r>
      <w:r w:rsidRPr="00D16B79">
        <w:rPr>
          <w:lang w:val="en-US"/>
        </w:rPr>
        <w:t xml:space="preserve">e </w:t>
      </w:r>
      <w:r w:rsidR="0075048F" w:rsidRPr="00D16B79">
        <w:rPr>
          <w:lang w:val="en-US"/>
        </w:rPr>
        <w:t>show</w:t>
      </w:r>
      <w:r w:rsidRPr="00D16B79">
        <w:rPr>
          <w:lang w:val="en-US"/>
        </w:rPr>
        <w:t xml:space="preserve"> that this </w:t>
      </w:r>
      <w:r w:rsidR="00A56846" w:rsidRPr="00D16B79">
        <w:rPr>
          <w:lang w:val="en-US"/>
        </w:rPr>
        <w:t xml:space="preserve">pattern </w:t>
      </w:r>
      <w:r w:rsidR="001108C7" w:rsidRPr="00D16B79">
        <w:rPr>
          <w:lang w:val="en-US"/>
        </w:rPr>
        <w:t xml:space="preserve">occurs when three projects from the same organization are presented together (Study 3 and SS3) and </w:t>
      </w:r>
      <w:r w:rsidRPr="00D16B79">
        <w:rPr>
          <w:lang w:val="en-US"/>
        </w:rPr>
        <w:t xml:space="preserve">does </w:t>
      </w:r>
      <w:r w:rsidRPr="00D16B79">
        <w:rPr>
          <w:i/>
          <w:iCs/>
          <w:lang w:val="en-US"/>
        </w:rPr>
        <w:t>not</w:t>
      </w:r>
      <w:r w:rsidRPr="00D16B79">
        <w:rPr>
          <w:lang w:val="en-US"/>
        </w:rPr>
        <w:t xml:space="preserve"> occur when an organization is presented on its own</w:t>
      </w:r>
      <w:r w:rsidR="00A56846" w:rsidRPr="00D16B79">
        <w:rPr>
          <w:lang w:val="en-US"/>
        </w:rPr>
        <w:t xml:space="preserve">; </w:t>
      </w:r>
      <w:r w:rsidRPr="00D16B79">
        <w:rPr>
          <w:lang w:val="en-US"/>
        </w:rPr>
        <w:t>in separate evaluation</w:t>
      </w:r>
      <w:r w:rsidR="00282E83" w:rsidRPr="00D16B79">
        <w:rPr>
          <w:lang w:val="en-US"/>
        </w:rPr>
        <w:t>,</w:t>
      </w:r>
      <w:r w:rsidRPr="00D16B79">
        <w:rPr>
          <w:lang w:val="en-US"/>
        </w:rPr>
        <w:t xml:space="preserve"> individuals</w:t>
      </w:r>
      <w:r w:rsidR="00337301" w:rsidRPr="00D16B79">
        <w:rPr>
          <w:lang w:val="en-US"/>
        </w:rPr>
        <w:t xml:space="preserve"> do not</w:t>
      </w:r>
      <w:r w:rsidRPr="00D16B79">
        <w:rPr>
          <w:lang w:val="en-US"/>
        </w:rPr>
        <w:t xml:space="preserve"> </w:t>
      </w:r>
      <w:r w:rsidR="006060F2" w:rsidRPr="00D16B79">
        <w:rPr>
          <w:lang w:val="en-US"/>
        </w:rPr>
        <w:t>give more to a</w:t>
      </w:r>
      <w:r w:rsidR="00CC37CC" w:rsidRPr="00D16B79">
        <w:rPr>
          <w:lang w:val="en-US"/>
        </w:rPr>
        <w:t xml:space="preserve"> charity farther from its goal</w:t>
      </w:r>
      <w:r w:rsidRPr="00D16B79">
        <w:rPr>
          <w:lang w:val="en-US"/>
        </w:rPr>
        <w:t>.</w:t>
      </w:r>
      <w:r w:rsidR="00AA7D8D" w:rsidRPr="00D16B79">
        <w:rPr>
          <w:lang w:val="en-US"/>
        </w:rPr>
        <w:t xml:space="preserve"> </w:t>
      </w:r>
      <w:r w:rsidR="00A718EB" w:rsidRPr="00D16B79">
        <w:rPr>
          <w:lang w:val="en-US"/>
        </w:rPr>
        <w:t>In addition</w:t>
      </w:r>
      <w:r w:rsidR="00AA7D8D" w:rsidRPr="00D16B79">
        <w:rPr>
          <w:lang w:val="en-US"/>
        </w:rPr>
        <w:t xml:space="preserve">, we </w:t>
      </w:r>
      <w:r w:rsidR="006060F2" w:rsidRPr="00D16B79">
        <w:rPr>
          <w:lang w:val="en-US"/>
        </w:rPr>
        <w:t xml:space="preserve">demonstrate moderation by organization type and show that the effect occurs in a </w:t>
      </w:r>
      <w:r w:rsidR="00836DAF" w:rsidRPr="00D16B79">
        <w:rPr>
          <w:lang w:val="en-US"/>
        </w:rPr>
        <w:t>prosocial</w:t>
      </w:r>
      <w:r w:rsidR="004E56F0">
        <w:rPr>
          <w:lang w:val="en-US"/>
        </w:rPr>
        <w:t xml:space="preserve">, but not </w:t>
      </w:r>
      <w:r w:rsidR="006E3B90">
        <w:rPr>
          <w:lang w:val="en-US"/>
        </w:rPr>
        <w:t xml:space="preserve">in a </w:t>
      </w:r>
      <w:r w:rsidR="00CC37CC" w:rsidRPr="00D16B79">
        <w:rPr>
          <w:lang w:val="en-US"/>
        </w:rPr>
        <w:t xml:space="preserve">for-profit context </w:t>
      </w:r>
      <w:r w:rsidR="00A718EB" w:rsidRPr="00D16B79">
        <w:rPr>
          <w:lang w:val="en-US"/>
        </w:rPr>
        <w:t>(Study 4).</w:t>
      </w:r>
      <w:r w:rsidR="00CC37CC" w:rsidRPr="00D16B79">
        <w:rPr>
          <w:lang w:val="en-US"/>
        </w:rPr>
        <w:t xml:space="preserve"> </w:t>
      </w:r>
      <w:r w:rsidR="00A718EB" w:rsidRPr="00D16B79">
        <w:rPr>
          <w:lang w:val="en-US"/>
        </w:rPr>
        <w:t xml:space="preserve">We </w:t>
      </w:r>
      <w:r w:rsidR="001108C7" w:rsidRPr="00D16B79">
        <w:rPr>
          <w:lang w:val="en-US"/>
        </w:rPr>
        <w:t xml:space="preserve">find </w:t>
      </w:r>
      <w:r w:rsidR="00D71DB5" w:rsidRPr="00D16B79">
        <w:rPr>
          <w:lang w:val="en-US"/>
        </w:rPr>
        <w:t>that the effect</w:t>
      </w:r>
      <w:r w:rsidR="00A718EB" w:rsidRPr="00D16B79">
        <w:rPr>
          <w:lang w:val="en-US"/>
        </w:rPr>
        <w:t xml:space="preserve"> is attenuated when the gap in goal progress becomes smaller (Study 5</w:t>
      </w:r>
      <w:r w:rsidR="00D71DB5" w:rsidRPr="00D16B79">
        <w:rPr>
          <w:lang w:val="en-US"/>
        </w:rPr>
        <w:t>A</w:t>
      </w:r>
      <w:r w:rsidR="00A718EB" w:rsidRPr="00D16B79">
        <w:rPr>
          <w:lang w:val="en-US"/>
        </w:rPr>
        <w:t>) and that it is robust to</w:t>
      </w:r>
      <w:r w:rsidR="008B1F05" w:rsidRPr="00D16B79">
        <w:rPr>
          <w:lang w:val="en-US"/>
        </w:rPr>
        <w:t xml:space="preserve"> </w:t>
      </w:r>
      <w:r w:rsidR="00A718EB" w:rsidRPr="00D16B79">
        <w:rPr>
          <w:lang w:val="en-US"/>
        </w:rPr>
        <w:t xml:space="preserve">being able to </w:t>
      </w:r>
      <w:r w:rsidR="00BC235E" w:rsidRPr="00D16B79">
        <w:rPr>
          <w:lang w:val="en-US"/>
        </w:rPr>
        <w:t xml:space="preserve">personally </w:t>
      </w:r>
      <w:r w:rsidR="00A718EB" w:rsidRPr="00D16B79">
        <w:rPr>
          <w:lang w:val="en-US"/>
        </w:rPr>
        <w:t xml:space="preserve">complete the goal (i.e., the tipping point; Study </w:t>
      </w:r>
      <w:r w:rsidR="00D71DB5" w:rsidRPr="00D16B79">
        <w:rPr>
          <w:lang w:val="en-US"/>
        </w:rPr>
        <w:t>5B</w:t>
      </w:r>
      <w:r w:rsidR="00A718EB" w:rsidRPr="00D16B79">
        <w:rPr>
          <w:lang w:val="en-US"/>
        </w:rPr>
        <w:t>)</w:t>
      </w:r>
      <w:r w:rsidR="00D71DB5" w:rsidRPr="00D16B79">
        <w:rPr>
          <w:lang w:val="en-US"/>
        </w:rPr>
        <w:t xml:space="preserve">, but not when </w:t>
      </w:r>
      <w:r w:rsidR="00911214" w:rsidRPr="00D16B79">
        <w:rPr>
          <w:lang w:val="en-US"/>
        </w:rPr>
        <w:t>the charity</w:t>
      </w:r>
      <w:r w:rsidR="00D71DB5" w:rsidRPr="00D16B79">
        <w:rPr>
          <w:lang w:val="en-US"/>
        </w:rPr>
        <w:t xml:space="preserve"> </w:t>
      </w:r>
      <w:r w:rsidR="00911214" w:rsidRPr="00D16B79">
        <w:rPr>
          <w:lang w:val="en-US"/>
        </w:rPr>
        <w:t xml:space="preserve">will only receive funds if it reaches its goal (i.e., donations </w:t>
      </w:r>
      <w:r w:rsidR="00D71DB5" w:rsidRPr="00D16B79">
        <w:rPr>
          <w:lang w:val="en-US"/>
        </w:rPr>
        <w:t xml:space="preserve">are </w:t>
      </w:r>
      <w:r w:rsidR="00911214" w:rsidRPr="00D16B79">
        <w:rPr>
          <w:lang w:val="en-US"/>
        </w:rPr>
        <w:t xml:space="preserve">completion </w:t>
      </w:r>
      <w:r w:rsidR="00D71DB5" w:rsidRPr="00D16B79">
        <w:rPr>
          <w:lang w:val="en-US"/>
        </w:rPr>
        <w:t>contingent</w:t>
      </w:r>
      <w:r w:rsidR="00911214" w:rsidRPr="00D16B79">
        <w:rPr>
          <w:lang w:val="en-US"/>
        </w:rPr>
        <w:t xml:space="preserve">; </w:t>
      </w:r>
      <w:r w:rsidR="007A0979" w:rsidRPr="00D16B79">
        <w:rPr>
          <w:lang w:val="en-US"/>
        </w:rPr>
        <w:t>S</w:t>
      </w:r>
      <w:r w:rsidR="00337301" w:rsidRPr="00D16B79">
        <w:rPr>
          <w:lang w:val="en-US"/>
        </w:rPr>
        <w:t xml:space="preserve">upplemental Study </w:t>
      </w:r>
      <w:r w:rsidR="00D71DB5" w:rsidRPr="00D16B79">
        <w:rPr>
          <w:lang w:val="en-US"/>
        </w:rPr>
        <w:t>S</w:t>
      </w:r>
      <w:r w:rsidR="00C73179" w:rsidRPr="00D16B79">
        <w:rPr>
          <w:lang w:val="en-US"/>
        </w:rPr>
        <w:t>5</w:t>
      </w:r>
      <w:r w:rsidR="00D71DB5" w:rsidRPr="00D16B79">
        <w:rPr>
          <w:lang w:val="en-US"/>
        </w:rPr>
        <w:t>)</w:t>
      </w:r>
      <w:r w:rsidR="00A718EB" w:rsidRPr="00D16B79">
        <w:rPr>
          <w:lang w:val="en-US"/>
        </w:rPr>
        <w:t xml:space="preserve">. Finally, we </w:t>
      </w:r>
      <w:r w:rsidR="00337301" w:rsidRPr="00D16B79">
        <w:rPr>
          <w:lang w:val="en-US"/>
        </w:rPr>
        <w:t xml:space="preserve">find </w:t>
      </w:r>
      <w:r w:rsidR="00424798" w:rsidRPr="00D16B79">
        <w:rPr>
          <w:lang w:val="en-US"/>
        </w:rPr>
        <w:t>evidence for</w:t>
      </w:r>
      <w:r w:rsidR="00986477" w:rsidRPr="00D16B79">
        <w:rPr>
          <w:lang w:val="en-US"/>
        </w:rPr>
        <w:t xml:space="preserve"> this effect </w:t>
      </w:r>
      <w:r w:rsidR="00424798" w:rsidRPr="00D16B79">
        <w:rPr>
          <w:lang w:val="en-US"/>
        </w:rPr>
        <w:t xml:space="preserve">in </w:t>
      </w:r>
      <w:r w:rsidR="00986477" w:rsidRPr="00D16B79">
        <w:rPr>
          <w:lang w:val="en-US"/>
        </w:rPr>
        <w:t>a large</w:t>
      </w:r>
      <w:r w:rsidR="00282E83" w:rsidRPr="00D16B79">
        <w:rPr>
          <w:lang w:val="en-US"/>
        </w:rPr>
        <w:t>,</w:t>
      </w:r>
      <w:r w:rsidR="00986477" w:rsidRPr="00D16B79">
        <w:rPr>
          <w:lang w:val="en-US"/>
        </w:rPr>
        <w:t xml:space="preserve"> real-world dataset</w:t>
      </w:r>
      <w:r w:rsidR="001C094D" w:rsidRPr="00D16B79">
        <w:rPr>
          <w:lang w:val="en-US"/>
        </w:rPr>
        <w:t xml:space="preserve"> from a non-profit micro-crowdfunding site</w:t>
      </w:r>
      <w:r w:rsidR="00986477" w:rsidRPr="00D16B79">
        <w:rPr>
          <w:lang w:val="en-US"/>
        </w:rPr>
        <w:t xml:space="preserve">, </w:t>
      </w:r>
      <w:r w:rsidR="00337301" w:rsidRPr="00D16B79">
        <w:rPr>
          <w:lang w:val="en-US"/>
        </w:rPr>
        <w:t xml:space="preserve">when </w:t>
      </w:r>
      <w:r w:rsidR="00986477" w:rsidRPr="00D16B79">
        <w:rPr>
          <w:lang w:val="en-US"/>
        </w:rPr>
        <w:t xml:space="preserve">controlling for presentation order </w:t>
      </w:r>
      <w:r w:rsidR="00337301" w:rsidRPr="00D16B79">
        <w:rPr>
          <w:lang w:val="en-US"/>
        </w:rPr>
        <w:t xml:space="preserve">and other confounding factors </w:t>
      </w:r>
      <w:r w:rsidR="00986477" w:rsidRPr="00D16B79">
        <w:rPr>
          <w:lang w:val="en-US"/>
        </w:rPr>
        <w:t xml:space="preserve">(Study </w:t>
      </w:r>
      <w:r w:rsidR="00D71DB5" w:rsidRPr="00D16B79">
        <w:rPr>
          <w:lang w:val="en-US"/>
        </w:rPr>
        <w:t>6</w:t>
      </w:r>
      <w:r w:rsidR="00986477" w:rsidRPr="00D16B79">
        <w:rPr>
          <w:lang w:val="en-US"/>
        </w:rPr>
        <w:t xml:space="preserve">). </w:t>
      </w:r>
      <w:r w:rsidR="00751573" w:rsidRPr="00D16B79">
        <w:rPr>
          <w:lang w:val="en-US"/>
        </w:rPr>
        <w:t>Throughout this work</w:t>
      </w:r>
      <w:r w:rsidR="00282E83" w:rsidRPr="00D16B79">
        <w:rPr>
          <w:lang w:val="en-US"/>
        </w:rPr>
        <w:t>,</w:t>
      </w:r>
      <w:r w:rsidR="00751573" w:rsidRPr="00D16B79">
        <w:rPr>
          <w:lang w:val="en-US"/>
        </w:rPr>
        <w:t xml:space="preserve"> w</w:t>
      </w:r>
      <w:r w:rsidR="00456DA6" w:rsidRPr="00D16B79">
        <w:rPr>
          <w:lang w:val="en-US"/>
        </w:rPr>
        <w:t xml:space="preserve">e use </w:t>
      </w:r>
      <w:r w:rsidR="00751573" w:rsidRPr="00D16B79">
        <w:rPr>
          <w:lang w:val="en-US"/>
        </w:rPr>
        <w:t>pre</w:t>
      </w:r>
      <w:r w:rsidR="001C56E3" w:rsidRPr="00D16B79">
        <w:rPr>
          <w:lang w:val="en-US"/>
        </w:rPr>
        <w:t>-</w:t>
      </w:r>
      <w:r w:rsidR="00751573" w:rsidRPr="00D16B79">
        <w:rPr>
          <w:lang w:val="en-US"/>
        </w:rPr>
        <w:t xml:space="preserve">registered studies, </w:t>
      </w:r>
      <w:r w:rsidR="004D07CA" w:rsidRPr="00D16B79">
        <w:rPr>
          <w:lang w:val="en-US"/>
        </w:rPr>
        <w:t xml:space="preserve">recruit </w:t>
      </w:r>
      <w:r w:rsidR="001E0EE4">
        <w:rPr>
          <w:lang w:val="en-US"/>
        </w:rPr>
        <w:t>large</w:t>
      </w:r>
      <w:r w:rsidR="00456DA6" w:rsidRPr="00D16B79">
        <w:rPr>
          <w:lang w:val="en-US"/>
        </w:rPr>
        <w:t xml:space="preserve"> samples, generalize across charities</w:t>
      </w:r>
      <w:r w:rsidR="001108C7" w:rsidRPr="00D16B79">
        <w:rPr>
          <w:lang w:val="en-US"/>
        </w:rPr>
        <w:t>,</w:t>
      </w:r>
      <w:r w:rsidR="00456DA6" w:rsidRPr="00D16B79">
        <w:rPr>
          <w:lang w:val="en-US"/>
        </w:rPr>
        <w:t xml:space="preserve"> individual</w:t>
      </w:r>
      <w:r w:rsidR="00B83E72" w:rsidRPr="00D16B79">
        <w:rPr>
          <w:lang w:val="en-US"/>
        </w:rPr>
        <w:t>s</w:t>
      </w:r>
      <w:r w:rsidR="00456DA6" w:rsidRPr="00D16B79">
        <w:rPr>
          <w:lang w:val="en-US"/>
        </w:rPr>
        <w:t>,</w:t>
      </w:r>
      <w:r w:rsidR="001108C7" w:rsidRPr="00D16B79">
        <w:rPr>
          <w:lang w:val="en-US"/>
        </w:rPr>
        <w:t xml:space="preserve"> and projects </w:t>
      </w:r>
      <w:r w:rsidR="00D3317B">
        <w:rPr>
          <w:lang w:val="en-US"/>
        </w:rPr>
        <w:t>within</w:t>
      </w:r>
      <w:r w:rsidR="00D3317B" w:rsidRPr="00D16B79">
        <w:rPr>
          <w:lang w:val="en-US"/>
        </w:rPr>
        <w:t xml:space="preserve"> </w:t>
      </w:r>
      <w:r w:rsidR="001108C7" w:rsidRPr="00D16B79">
        <w:rPr>
          <w:lang w:val="en-US"/>
        </w:rPr>
        <w:t xml:space="preserve">a single </w:t>
      </w:r>
      <w:r w:rsidR="001108C7" w:rsidRPr="00D16B79">
        <w:rPr>
          <w:lang w:val="en-US"/>
        </w:rPr>
        <w:lastRenderedPageBreak/>
        <w:t>chari</w:t>
      </w:r>
      <w:r w:rsidR="00D3317B">
        <w:rPr>
          <w:lang w:val="en-US"/>
        </w:rPr>
        <w:t>table organization</w:t>
      </w:r>
      <w:r w:rsidR="004D1AB9" w:rsidRPr="00D16B79">
        <w:rPr>
          <w:lang w:val="en-US"/>
        </w:rPr>
        <w:t>,</w:t>
      </w:r>
      <w:r w:rsidR="00456DA6" w:rsidRPr="00D16B79">
        <w:rPr>
          <w:lang w:val="en-US"/>
        </w:rPr>
        <w:t xml:space="preserve"> </w:t>
      </w:r>
      <w:r w:rsidR="001108C7" w:rsidRPr="00D16B79">
        <w:rPr>
          <w:lang w:val="en-US"/>
        </w:rPr>
        <w:t>using a mix of</w:t>
      </w:r>
      <w:r w:rsidR="00456DA6" w:rsidRPr="00D16B79">
        <w:rPr>
          <w:lang w:val="en-US"/>
        </w:rPr>
        <w:t xml:space="preserve"> </w:t>
      </w:r>
      <w:r w:rsidR="00A718EB" w:rsidRPr="00D16B79">
        <w:rPr>
          <w:lang w:val="en-US"/>
        </w:rPr>
        <w:t xml:space="preserve">incentive-compatible, </w:t>
      </w:r>
      <w:r w:rsidR="00456DA6" w:rsidRPr="00D16B79">
        <w:rPr>
          <w:lang w:val="en-US"/>
        </w:rPr>
        <w:t>consequential donations</w:t>
      </w:r>
      <w:r w:rsidR="00E53E68">
        <w:rPr>
          <w:lang w:val="en-US"/>
        </w:rPr>
        <w:t>,</w:t>
      </w:r>
      <w:r w:rsidR="00986477" w:rsidRPr="00D16B79">
        <w:rPr>
          <w:lang w:val="en-US"/>
        </w:rPr>
        <w:t xml:space="preserve"> and real-world data</w:t>
      </w:r>
      <w:r w:rsidR="00456DA6" w:rsidRPr="00D16B79">
        <w:rPr>
          <w:lang w:val="en-US"/>
        </w:rPr>
        <w:t xml:space="preserve"> to </w:t>
      </w:r>
      <w:r w:rsidR="00AC4D59" w:rsidRPr="00D16B79">
        <w:rPr>
          <w:lang w:val="en-US"/>
        </w:rPr>
        <w:t>increase ecological validity.</w:t>
      </w:r>
    </w:p>
    <w:p w14:paraId="188BBD3F" w14:textId="5DA2C0BD" w:rsidR="00A20CA7" w:rsidRPr="00D16B79" w:rsidRDefault="00A20CA7" w:rsidP="008E0178">
      <w:pPr>
        <w:pStyle w:val="Heading2"/>
      </w:pPr>
      <w:r w:rsidRPr="00D16B79">
        <w:t>Theoretical Contributions</w:t>
      </w:r>
    </w:p>
    <w:p w14:paraId="77F93EF6" w14:textId="1EE17177" w:rsidR="00943830" w:rsidRDefault="005010B0" w:rsidP="008D1A9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This </w:t>
      </w:r>
      <w:r w:rsidR="00282E83" w:rsidRPr="00D16B79">
        <w:rPr>
          <w:rFonts w:ascii="Times New Roman" w:eastAsia="Cambria" w:hAnsi="Times New Roman"/>
          <w:lang w:val="en-US" w:eastAsia="en-US"/>
        </w:rPr>
        <w:t xml:space="preserve">research </w:t>
      </w:r>
      <w:r w:rsidRPr="00D16B79">
        <w:rPr>
          <w:rFonts w:ascii="Times New Roman" w:eastAsia="Cambria" w:hAnsi="Times New Roman"/>
          <w:lang w:val="en-US" w:eastAsia="en-US"/>
        </w:rPr>
        <w:t xml:space="preserve">makes several theoretical contributions. </w:t>
      </w:r>
      <w:r w:rsidR="00C170C4" w:rsidRPr="00D16B79">
        <w:rPr>
          <w:rFonts w:ascii="Times New Roman" w:eastAsia="Cambria" w:hAnsi="Times New Roman"/>
          <w:lang w:val="en-US" w:eastAsia="en-US"/>
        </w:rPr>
        <w:t>First</w:t>
      </w:r>
      <w:r w:rsidRPr="00D16B79">
        <w:rPr>
          <w:rFonts w:ascii="Times New Roman" w:eastAsia="Cambria" w:hAnsi="Times New Roman"/>
          <w:lang w:val="en-US" w:eastAsia="en-US"/>
        </w:rPr>
        <w:t xml:space="preserve">, </w:t>
      </w:r>
      <w:r w:rsidR="00B55A22" w:rsidRPr="00D16B79">
        <w:rPr>
          <w:rFonts w:ascii="Times New Roman" w:eastAsia="Cambria" w:hAnsi="Times New Roman"/>
          <w:lang w:val="en-US" w:eastAsia="en-US"/>
        </w:rPr>
        <w:t>we</w:t>
      </w:r>
      <w:r w:rsidRPr="00D16B79">
        <w:rPr>
          <w:rFonts w:ascii="Times New Roman" w:eastAsia="Cambria" w:hAnsi="Times New Roman"/>
          <w:lang w:val="en-US" w:eastAsia="en-US"/>
        </w:rPr>
        <w:t xml:space="preserve"> build on existing research on </w:t>
      </w:r>
      <w:r w:rsidR="001E0EE4">
        <w:rPr>
          <w:rFonts w:ascii="Times New Roman" w:eastAsia="Cambria" w:hAnsi="Times New Roman"/>
          <w:lang w:val="en-US" w:eastAsia="en-US"/>
        </w:rPr>
        <w:t>goal pursuit</w:t>
      </w:r>
      <w:r w:rsidRPr="00D16B79">
        <w:rPr>
          <w:rFonts w:ascii="Times New Roman" w:eastAsia="Cambria" w:hAnsi="Times New Roman"/>
          <w:lang w:val="en-US" w:eastAsia="en-US"/>
        </w:rPr>
        <w:t xml:space="preserve"> </w:t>
      </w:r>
      <w:r w:rsidR="00AA0090">
        <w:rPr>
          <w:rFonts w:ascii="Times New Roman" w:eastAsia="Cambria" w:hAnsi="Times New Roman"/>
          <w:lang w:val="en-US" w:eastAsia="en-US"/>
        </w:rPr>
        <w:t xml:space="preserve">in </w:t>
      </w:r>
      <w:r w:rsidR="00DC5BB9">
        <w:rPr>
          <w:rFonts w:ascii="Times New Roman" w:eastAsia="Cambria" w:hAnsi="Times New Roman"/>
          <w:lang w:val="en-US" w:eastAsia="en-US"/>
        </w:rPr>
        <w:t xml:space="preserve">response </w:t>
      </w:r>
      <w:r w:rsidR="00AA0090">
        <w:rPr>
          <w:rFonts w:ascii="Times New Roman" w:eastAsia="Cambria" w:hAnsi="Times New Roman"/>
          <w:lang w:val="en-US" w:eastAsia="en-US"/>
        </w:rPr>
        <w:t xml:space="preserve">to low versus high goal progress </w:t>
      </w:r>
      <w:r w:rsidR="007A0979" w:rsidRPr="00D16B79">
        <w:rPr>
          <w:rFonts w:ascii="Times New Roman" w:eastAsia="Cambria" w:hAnsi="Times New Roman"/>
          <w:lang w:val="en-US" w:eastAsia="en-US"/>
        </w:rPr>
        <w:t>to</w:t>
      </w:r>
      <w:r w:rsidRPr="00D16B79">
        <w:rPr>
          <w:rFonts w:ascii="Times New Roman" w:eastAsia="Cambria" w:hAnsi="Times New Roman"/>
          <w:lang w:val="en-US" w:eastAsia="en-US"/>
        </w:rPr>
        <w:t xml:space="preserve"> </w:t>
      </w:r>
      <w:r w:rsidR="00732461" w:rsidRPr="00D16B79">
        <w:rPr>
          <w:rFonts w:ascii="Times New Roman" w:eastAsia="Cambria" w:hAnsi="Times New Roman"/>
          <w:lang w:val="en-US" w:eastAsia="en-US"/>
        </w:rPr>
        <w:t xml:space="preserve">reveal </w:t>
      </w:r>
      <w:r w:rsidR="001A5494" w:rsidRPr="00D16B79">
        <w:rPr>
          <w:rFonts w:ascii="Times New Roman" w:eastAsia="Cambria" w:hAnsi="Times New Roman"/>
          <w:lang w:val="en-US" w:eastAsia="en-US"/>
        </w:rPr>
        <w:t xml:space="preserve">evaluation mode as </w:t>
      </w:r>
      <w:r w:rsidR="0009609F" w:rsidRPr="00D16B79">
        <w:rPr>
          <w:rFonts w:ascii="Times New Roman" w:eastAsia="Cambria" w:hAnsi="Times New Roman"/>
          <w:lang w:val="en-US" w:eastAsia="en-US"/>
        </w:rPr>
        <w:t xml:space="preserve">an </w:t>
      </w:r>
      <w:r w:rsidRPr="00D16B79">
        <w:rPr>
          <w:rFonts w:ascii="Times New Roman" w:eastAsia="Cambria" w:hAnsi="Times New Roman"/>
          <w:lang w:val="en-US" w:eastAsia="en-US"/>
        </w:rPr>
        <w:t xml:space="preserve">important moderator. While there has been much </w:t>
      </w:r>
      <w:r w:rsidR="00297B16">
        <w:rPr>
          <w:rFonts w:ascii="Times New Roman" w:eastAsia="Cambria" w:hAnsi="Times New Roman"/>
          <w:lang w:val="en-US" w:eastAsia="en-US"/>
        </w:rPr>
        <w:t>past research</w:t>
      </w:r>
      <w:r w:rsidRPr="00D16B79">
        <w:rPr>
          <w:rFonts w:ascii="Times New Roman" w:eastAsia="Cambria" w:hAnsi="Times New Roman"/>
          <w:lang w:val="en-US" w:eastAsia="en-US"/>
        </w:rPr>
        <w:t xml:space="preserve"> on goal </w:t>
      </w:r>
      <w:r w:rsidR="001E0EE4">
        <w:rPr>
          <w:rFonts w:ascii="Times New Roman" w:eastAsia="Cambria" w:hAnsi="Times New Roman"/>
          <w:lang w:val="en-US" w:eastAsia="en-US"/>
        </w:rPr>
        <w:t>pursuit</w:t>
      </w:r>
      <w:r w:rsidR="00297B16">
        <w:rPr>
          <w:rFonts w:ascii="Times New Roman" w:eastAsia="Cambria" w:hAnsi="Times New Roman"/>
          <w:lang w:val="en-US" w:eastAsia="en-US"/>
        </w:rPr>
        <w:t xml:space="preserve"> </w:t>
      </w:r>
      <w:r w:rsidR="00E414C6" w:rsidRPr="00D16B79">
        <w:rPr>
          <w:rFonts w:ascii="Times New Roman" w:eastAsia="Cambria" w:hAnsi="Times New Roman"/>
          <w:lang w:val="en-US" w:eastAsia="en-US"/>
        </w:rPr>
        <w:fldChar w:fldCharType="begin"/>
      </w:r>
      <w:r w:rsidR="00297B16">
        <w:rPr>
          <w:rFonts w:ascii="Times New Roman" w:eastAsia="Cambria" w:hAnsi="Times New Roman"/>
          <w:lang w:val="en-US" w:eastAsia="en-US"/>
        </w:rPr>
        <w:instrText xml:space="preserve"> ADDIN ZOTERO_ITEM CSL_CITATION {"citationID":"FeCMDVys","properties":{"formattedCitation":"(e.g., Cryder, Loewenstein, and Seltman 2013; Kivetz, Urminsky, and Zheng 2006; Koo and Fishbach 2008)","plainCitation":"(e.g., Cryder, Loewenstein, and Seltman 2013; Kivetz, Urminsky, and Zheng 2006; Koo and Fishbach 2008)","noteIndex":0},"citationItems":[{"id":2335,"uris":["http://zotero.org/users/4606674/items/KQ6ICYYK"],"itemData":{"id":2335,"type":"article-journal","abstract":"People are more likely to pitch in as charitable campaigns approach their goals. Such “goal gradient helping” occurs in part because late-stage efforts provide donors with a heightened sense of personal impact, an influential source of satisfaction from prosocial acts. Using web robot technology in an Internet field study of micro-lending, Study 1 demonstrated that charity contribution rates increase as recipients approach their fundraising goals. Study 2, a large-scale field experiment, found that funds close to reaching campaign goals received more donations than did funds far from reaching campaign goals. Study 3 replicated the goal gradient helping effect in a controlled scenario experiment, and mediational analyses showed that increased perceived impact of late-stage contributions, and the resultant satisfaction from this impact, explain goal gradient helping. In conclusion, people are not charitable simply to be kind or to relieve negative emotions; they find satisfaction from having personal influence in solving a social problem.","container-title":"Journal of Experimental Social Psychology","DOI":"10.1016/j.jesp.2013.07.003","ISSN":"0022-1031","issue":"6","journalAbbreviation":"Journal of Experimental Social Psychology","language":"en","page":"1078-1083","source":"ScienceDirect","title":"Goal Gradient in Helping Behavior","volume":"49","author":[{"family":"Cryder","given":"Cynthia E."},{"family":"Loewenstein","given":"George"},{"family":"Seltman","given":"Howard"}],"issued":{"date-parts":[["2013",11,1]]}},"label":"page","prefix":"e.g., "},{"id":2336,"uris":["http://zotero.org/users/4606674/items/CXXY285Z"],"itemData":{"id":2336,"type":"article-journal","abstract":"The goal-gradient hypothesis denotes the classic finding from behaviorism that animals expend more effort as they approach a reward. Building on this hypothesis, the authors generate new propositions for the human psychology of rewards. They test these propositions using field experiments, secondary customer data, paper-and-pencil problems, and Tobit and logit models. The key findings indicate that (1) participants in a real café reward program purchase coffee more frequently the closer they are to earning a free coffee; (2) Internet users who rate songs in return for reward certificates visit the rating Web site more often, rate more songs per visit, and persist longer in the rating effort as they approach the reward goal; (3) the illusion of progress toward the goal induces purchase acceleration (e.g., customers who receive a 12-stamp coffee card with 2 preexisting “bonus” stamps complete the 10 required purchases faster than customers who receive a “regular” 10-stamp card); and (4) a stronger tendency to accelerate toward the goal predicts greater retention and faster reengagement in the program. The conceptualization and empirical findings are captured by a parsimonious goal-distance model, in which effort investment is a function of the proportion of original distance remaining to the goal. In addition, using statistical and experimental controls, the authors rule out alternative explanations for the observed goal gradients. They discuss the theoretical significance of their findings and the managerial implications for incentive systems, promotions, and customer retention.","container-title":"Journal of Marketing Research","DOI":"10.1509/jmkr.43.1.39","ISSN":"0022-2437","issue":"1","journalAbbreviation":"Journal of Marketing Research","language":"en","page":"39-58","source":"SAGE Journals","title":"The Goal-Gradient Hypothesis Resurrected: Purchase Acceleration, Illusionary Goal Progress, and Customer Retention","title-short":"The Goal-Gradient Hypothesis Resurrected","volume":"43","author":[{"family":"Kivetz","given":"Ran"},{"family":"Urminsky","given":"Oleg"},{"family":"Zheng","given":"Yuhuang"}],"issued":{"date-parts":[["2006",2,1]]}},"label":"page"},{"id":702,"uris":["http://zotero.org/users/4606674/items/7E3V7KIF"],"itemData":{"id":702,"type":"article-journal","container-title":"Journal of Personality and Social Psychology","DOI":"10.1037/0022-3514.94.2.183","ISSN":"1939-1315, 0022-3514","issue":"2","language":"en","page":"183-195","source":"CrossRef","title":"Dynamics of self-regulation: How (un)accomplished goal actions affect motivation.","title-short":"Dynamics of self-regulation","volume":"94","author":[{"family":"Koo","given":"Minjung"},{"family":"Fishbach","given":"Ayelet"}],"issued":{"date-parts":[["2008"]]}}}],"schema":"https://github.com/citation-style-language/schema/raw/master/csl-citation.json"} </w:instrText>
      </w:r>
      <w:r w:rsidR="00E414C6" w:rsidRPr="00D16B79">
        <w:rPr>
          <w:rFonts w:ascii="Times New Roman" w:eastAsia="Cambria" w:hAnsi="Times New Roman"/>
          <w:lang w:val="en-US" w:eastAsia="en-US"/>
        </w:rPr>
        <w:fldChar w:fldCharType="separate"/>
      </w:r>
      <w:r w:rsidR="00297B16" w:rsidRPr="00297B16">
        <w:rPr>
          <w:rFonts w:ascii="Times New Roman" w:hAnsi="Times New Roman"/>
        </w:rPr>
        <w:t>(e.g., Cryder, Loewenstein, and Seltman 2013; Kivetz, Urminsky, and Zheng 2006; Koo and Fishbach 2008)</w:t>
      </w:r>
      <w:r w:rsidR="00E414C6" w:rsidRPr="00D16B79">
        <w:rPr>
          <w:rFonts w:ascii="Times New Roman" w:eastAsia="Cambria" w:hAnsi="Times New Roman"/>
          <w:lang w:val="en-US" w:eastAsia="en-US"/>
        </w:rPr>
        <w:fldChar w:fldCharType="end"/>
      </w:r>
      <w:r w:rsidRPr="00D16B79">
        <w:rPr>
          <w:rFonts w:ascii="Times New Roman" w:eastAsia="Cambria" w:hAnsi="Times New Roman"/>
          <w:lang w:val="en-US" w:eastAsia="en-US"/>
        </w:rPr>
        <w:t xml:space="preserve">, </w:t>
      </w:r>
      <w:r w:rsidR="00AA0090">
        <w:rPr>
          <w:rFonts w:ascii="Times New Roman" w:eastAsia="Cambria" w:hAnsi="Times New Roman"/>
          <w:lang w:val="en-US" w:eastAsia="en-US"/>
        </w:rPr>
        <w:t>work has not yet</w:t>
      </w:r>
      <w:r w:rsidRPr="00D16B79">
        <w:rPr>
          <w:rFonts w:ascii="Times New Roman" w:eastAsia="Cambria" w:hAnsi="Times New Roman"/>
          <w:lang w:val="en-US" w:eastAsia="en-US"/>
        </w:rPr>
        <w:t xml:space="preserve"> investigated the </w:t>
      </w:r>
      <w:r w:rsidR="00AA0090">
        <w:rPr>
          <w:rFonts w:ascii="Times New Roman" w:eastAsia="Cambria" w:hAnsi="Times New Roman"/>
          <w:lang w:val="en-US" w:eastAsia="en-US"/>
        </w:rPr>
        <w:t xml:space="preserve">role of </w:t>
      </w:r>
      <w:r w:rsidRPr="00D16B79">
        <w:rPr>
          <w:rFonts w:ascii="Times New Roman" w:eastAsia="Cambria" w:hAnsi="Times New Roman"/>
          <w:lang w:val="en-US" w:eastAsia="en-US"/>
        </w:rPr>
        <w:t>evaluation</w:t>
      </w:r>
      <w:r w:rsidR="00E53E68">
        <w:rPr>
          <w:rFonts w:ascii="Times New Roman" w:eastAsia="Cambria" w:hAnsi="Times New Roman"/>
          <w:lang w:val="en-US" w:eastAsia="en-US"/>
        </w:rPr>
        <w:t xml:space="preserve"> mode</w:t>
      </w:r>
      <w:r w:rsidRPr="00D16B79">
        <w:rPr>
          <w:rFonts w:ascii="Times New Roman" w:eastAsia="Cambria" w:hAnsi="Times New Roman"/>
          <w:lang w:val="en-US" w:eastAsia="en-US"/>
        </w:rPr>
        <w:t xml:space="preserve">. </w:t>
      </w:r>
      <w:r w:rsidR="001A5494" w:rsidRPr="00D16B79">
        <w:rPr>
          <w:rFonts w:ascii="Times New Roman" w:eastAsia="Cambria" w:hAnsi="Times New Roman"/>
          <w:lang w:val="en-US" w:eastAsia="en-US"/>
        </w:rPr>
        <w:t>We find converging evidence that consumers donate more to a charity farther from its goal when it is evaluated along with a charity closer to its goal, highlighting the importance of evaluation mode in shifting consumer decision</w:t>
      </w:r>
      <w:r w:rsidR="00E53E68">
        <w:rPr>
          <w:rFonts w:ascii="Times New Roman" w:eastAsia="Cambria" w:hAnsi="Times New Roman"/>
          <w:lang w:val="en-US" w:eastAsia="en-US"/>
        </w:rPr>
        <w:t xml:space="preserve">s </w:t>
      </w:r>
      <w:r w:rsidR="00D3317B">
        <w:rPr>
          <w:rFonts w:ascii="Times New Roman" w:eastAsia="Cambria" w:hAnsi="Times New Roman"/>
          <w:lang w:val="en-US" w:eastAsia="en-US"/>
        </w:rPr>
        <w:t>in charitable giving</w:t>
      </w:r>
      <w:r w:rsidR="00DC5BB9">
        <w:rPr>
          <w:rFonts w:ascii="Times New Roman" w:eastAsia="Cambria" w:hAnsi="Times New Roman"/>
          <w:lang w:val="en-US" w:eastAsia="en-US"/>
        </w:rPr>
        <w:t xml:space="preserve"> contexts</w:t>
      </w:r>
      <w:r w:rsidR="001A5494" w:rsidRPr="00D16B79">
        <w:rPr>
          <w:rFonts w:ascii="Times New Roman" w:eastAsia="Cambria" w:hAnsi="Times New Roman"/>
          <w:lang w:val="en-US" w:eastAsia="en-US"/>
        </w:rPr>
        <w:t xml:space="preserve">. </w:t>
      </w:r>
      <w:r w:rsidRPr="00D16B79">
        <w:rPr>
          <w:rFonts w:ascii="Times New Roman" w:eastAsia="Cambria" w:hAnsi="Times New Roman"/>
          <w:lang w:val="en-US" w:eastAsia="en-US"/>
        </w:rPr>
        <w:t xml:space="preserve">By showing that </w:t>
      </w:r>
      <w:r w:rsidR="009D1EDB" w:rsidRPr="00D16B79">
        <w:rPr>
          <w:rFonts w:ascii="Times New Roman" w:eastAsia="Cambria" w:hAnsi="Times New Roman"/>
          <w:lang w:val="en-US" w:eastAsia="en-US"/>
        </w:rPr>
        <w:t>goal progress effects operate</w:t>
      </w:r>
      <w:r w:rsidRPr="00D16B79">
        <w:rPr>
          <w:rFonts w:ascii="Times New Roman" w:eastAsia="Cambria" w:hAnsi="Times New Roman"/>
          <w:lang w:val="en-US" w:eastAsia="en-US"/>
        </w:rPr>
        <w:t xml:space="preserve"> differently in joint </w:t>
      </w:r>
      <w:r w:rsidR="005B3141" w:rsidRPr="00D16B79">
        <w:rPr>
          <w:rFonts w:ascii="Times New Roman" w:eastAsia="Cambria" w:hAnsi="Times New Roman"/>
          <w:lang w:val="en-US" w:eastAsia="en-US"/>
        </w:rPr>
        <w:t xml:space="preserve">versus separate </w:t>
      </w:r>
      <w:r w:rsidRPr="00D16B79">
        <w:rPr>
          <w:rFonts w:ascii="Times New Roman" w:eastAsia="Cambria" w:hAnsi="Times New Roman"/>
          <w:lang w:val="en-US" w:eastAsia="en-US"/>
        </w:rPr>
        <w:t>evaluation when fund</w:t>
      </w:r>
      <w:r w:rsidR="00E414C6" w:rsidRPr="00D16B79">
        <w:rPr>
          <w:rFonts w:ascii="Times New Roman" w:eastAsia="Cambria" w:hAnsi="Times New Roman"/>
          <w:lang w:val="en-US" w:eastAsia="en-US"/>
        </w:rPr>
        <w:t>raising</w:t>
      </w:r>
      <w:r w:rsidRPr="00D16B79">
        <w:rPr>
          <w:rFonts w:ascii="Times New Roman" w:eastAsia="Cambria" w:hAnsi="Times New Roman"/>
          <w:lang w:val="en-US" w:eastAsia="en-US"/>
        </w:rPr>
        <w:t xml:space="preserve"> in </w:t>
      </w:r>
      <w:r w:rsidR="00101822" w:rsidRPr="00D16B79">
        <w:rPr>
          <w:rFonts w:ascii="Times New Roman" w:eastAsia="Cambria" w:hAnsi="Times New Roman"/>
          <w:lang w:val="en-US" w:eastAsia="en-US"/>
        </w:rPr>
        <w:t xml:space="preserve">prosocial </w:t>
      </w:r>
      <w:r w:rsidRPr="00D16B79">
        <w:rPr>
          <w:rFonts w:ascii="Times New Roman" w:eastAsia="Cambria" w:hAnsi="Times New Roman"/>
          <w:lang w:val="en-US" w:eastAsia="en-US"/>
        </w:rPr>
        <w:t>context</w:t>
      </w:r>
      <w:r w:rsidR="00DC5BB9">
        <w:rPr>
          <w:rFonts w:ascii="Times New Roman" w:eastAsia="Cambria" w:hAnsi="Times New Roman"/>
          <w:lang w:val="en-US" w:eastAsia="en-US"/>
        </w:rPr>
        <w:t>s</w:t>
      </w:r>
      <w:r w:rsidRPr="00D16B79">
        <w:rPr>
          <w:rFonts w:ascii="Times New Roman" w:eastAsia="Cambria" w:hAnsi="Times New Roman"/>
          <w:lang w:val="en-US" w:eastAsia="en-US"/>
        </w:rPr>
        <w:t xml:space="preserve">, </w:t>
      </w:r>
      <w:r w:rsidR="005B3141" w:rsidRPr="00D16B79">
        <w:rPr>
          <w:rFonts w:ascii="Times New Roman" w:eastAsia="Cambria" w:hAnsi="Times New Roman"/>
          <w:lang w:val="en-US" w:eastAsia="en-US"/>
        </w:rPr>
        <w:t>we</w:t>
      </w:r>
      <w:r w:rsidRPr="00D16B79">
        <w:rPr>
          <w:rFonts w:ascii="Times New Roman" w:eastAsia="Cambria" w:hAnsi="Times New Roman"/>
          <w:lang w:val="en-US" w:eastAsia="en-US"/>
        </w:rPr>
        <w:t xml:space="preserve"> </w:t>
      </w:r>
      <w:r w:rsidR="001A5494" w:rsidRPr="00D16B79">
        <w:rPr>
          <w:rFonts w:ascii="Times New Roman" w:eastAsia="Cambria" w:hAnsi="Times New Roman"/>
          <w:lang w:val="en-US" w:eastAsia="en-US"/>
        </w:rPr>
        <w:t>contribute to</w:t>
      </w:r>
      <w:r w:rsidR="00E414C6" w:rsidRPr="00D16B79">
        <w:rPr>
          <w:rFonts w:ascii="Times New Roman" w:eastAsia="Cambria" w:hAnsi="Times New Roman"/>
          <w:lang w:val="en-US" w:eastAsia="en-US"/>
        </w:rPr>
        <w:t xml:space="preserve"> existing work </w:t>
      </w:r>
      <w:r w:rsidR="001C0852" w:rsidRPr="00D16B79">
        <w:rPr>
          <w:rFonts w:ascii="Times New Roman" w:eastAsia="Cambria" w:hAnsi="Times New Roman"/>
          <w:lang w:val="en-US" w:eastAsia="en-US"/>
        </w:rPr>
        <w:t xml:space="preserve">showing how consumers make inferences and decisions at different levels of goal progress </w:t>
      </w:r>
      <w:r w:rsidR="000C4F53" w:rsidRPr="00D16B79">
        <w:rPr>
          <w:rFonts w:ascii="Times New Roman" w:eastAsia="Cambria" w:hAnsi="Times New Roman"/>
          <w:lang w:val="en-US" w:eastAsia="en-US"/>
        </w:rPr>
        <w:t>(Fishbach and Dhar 2005</w:t>
      </w:r>
      <w:r w:rsidR="00FB5FC0" w:rsidRPr="00D16B79">
        <w:rPr>
          <w:rFonts w:ascii="Times New Roman" w:eastAsia="Cambria" w:hAnsi="Times New Roman"/>
          <w:lang w:val="en-US" w:eastAsia="en-US"/>
        </w:rPr>
        <w:t xml:space="preserve">; </w:t>
      </w:r>
      <w:r w:rsidR="00FB5FC0" w:rsidRPr="00D16B79">
        <w:rPr>
          <w:lang w:val="en-US"/>
        </w:rPr>
        <w:t>Koo and Fishbach 2012; Huang and Zang 2011</w:t>
      </w:r>
      <w:r w:rsidR="000C4F53" w:rsidRPr="00D16B79">
        <w:rPr>
          <w:rFonts w:ascii="Times New Roman" w:eastAsia="Cambria" w:hAnsi="Times New Roman"/>
          <w:lang w:val="en-US" w:eastAsia="en-US"/>
        </w:rPr>
        <w:t xml:space="preserve">). </w:t>
      </w:r>
    </w:p>
    <w:p w14:paraId="0F411882" w14:textId="083C6A13" w:rsidR="007A2D83" w:rsidRDefault="003117F2" w:rsidP="008D1A9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One interesting caveat is that </w:t>
      </w:r>
      <w:r w:rsidR="005B3141" w:rsidRPr="00D16B79">
        <w:rPr>
          <w:rFonts w:ascii="Times New Roman" w:eastAsia="Cambria" w:hAnsi="Times New Roman"/>
          <w:lang w:val="en-US" w:eastAsia="en-US"/>
        </w:rPr>
        <w:t>we</w:t>
      </w:r>
      <w:r w:rsidR="005010B0" w:rsidRPr="00D16B79">
        <w:rPr>
          <w:rFonts w:ascii="Times New Roman" w:eastAsia="Cambria" w:hAnsi="Times New Roman"/>
          <w:lang w:val="en-US" w:eastAsia="en-US"/>
        </w:rPr>
        <w:t xml:space="preserve"> find </w:t>
      </w:r>
      <w:r w:rsidR="009D1EDB" w:rsidRPr="00D16B79">
        <w:rPr>
          <w:rFonts w:ascii="Times New Roman" w:eastAsia="Cambria" w:hAnsi="Times New Roman"/>
          <w:lang w:val="en-US" w:eastAsia="en-US"/>
        </w:rPr>
        <w:t xml:space="preserve">statistically significant </w:t>
      </w:r>
      <w:r w:rsidR="005010B0" w:rsidRPr="00D16B79">
        <w:rPr>
          <w:rFonts w:ascii="Times New Roman" w:eastAsia="Cambria" w:hAnsi="Times New Roman"/>
          <w:lang w:val="en-US" w:eastAsia="en-US"/>
        </w:rPr>
        <w:t>evidence of the goal gradient effect in separate evaluation</w:t>
      </w:r>
      <w:r w:rsidR="00986477" w:rsidRPr="00D16B79">
        <w:rPr>
          <w:rFonts w:ascii="Times New Roman" w:eastAsia="Cambria" w:hAnsi="Times New Roman"/>
          <w:lang w:val="en-US" w:eastAsia="en-US"/>
        </w:rPr>
        <w:t xml:space="preserve"> in two studies</w:t>
      </w:r>
      <w:r w:rsidR="005010B0" w:rsidRPr="00D16B79">
        <w:rPr>
          <w:rFonts w:ascii="Times New Roman" w:eastAsia="Cambria" w:hAnsi="Times New Roman"/>
          <w:lang w:val="en-US" w:eastAsia="en-US"/>
        </w:rPr>
        <w:t xml:space="preserve"> (Stud</w:t>
      </w:r>
      <w:r w:rsidR="008D7978" w:rsidRPr="00D16B79">
        <w:rPr>
          <w:rFonts w:ascii="Times New Roman" w:eastAsia="Cambria" w:hAnsi="Times New Roman"/>
          <w:lang w:val="en-US" w:eastAsia="en-US"/>
        </w:rPr>
        <w:t>ies</w:t>
      </w:r>
      <w:r w:rsidR="00C515B7" w:rsidRPr="00D16B79">
        <w:rPr>
          <w:rFonts w:ascii="Times New Roman" w:eastAsia="Cambria" w:hAnsi="Times New Roman"/>
          <w:lang w:val="en-US" w:eastAsia="en-US"/>
        </w:rPr>
        <w:t xml:space="preserve"> </w:t>
      </w:r>
      <w:r w:rsidR="00A718EB" w:rsidRPr="00D16B79">
        <w:rPr>
          <w:rFonts w:ascii="Times New Roman" w:eastAsia="Cambria" w:hAnsi="Times New Roman"/>
          <w:lang w:val="en-US" w:eastAsia="en-US"/>
        </w:rPr>
        <w:t>2</w:t>
      </w:r>
      <w:r w:rsidR="00986477" w:rsidRPr="00D16B79">
        <w:rPr>
          <w:rFonts w:ascii="Times New Roman" w:eastAsia="Cambria" w:hAnsi="Times New Roman"/>
          <w:lang w:val="en-US" w:eastAsia="en-US"/>
        </w:rPr>
        <w:t xml:space="preserve"> and </w:t>
      </w:r>
      <w:r w:rsidR="00A718EB" w:rsidRPr="00D16B79">
        <w:rPr>
          <w:rFonts w:ascii="Times New Roman" w:eastAsia="Cambria" w:hAnsi="Times New Roman"/>
          <w:lang w:val="en-US" w:eastAsia="en-US"/>
        </w:rPr>
        <w:t>4</w:t>
      </w:r>
      <w:r w:rsidR="00C515B7" w:rsidRPr="00D16B79">
        <w:rPr>
          <w:rFonts w:ascii="Times New Roman" w:eastAsia="Cambria" w:hAnsi="Times New Roman"/>
          <w:lang w:val="en-US" w:eastAsia="en-US"/>
        </w:rPr>
        <w:t>)</w:t>
      </w:r>
      <w:r w:rsidR="0013654D" w:rsidRPr="00D16B79">
        <w:rPr>
          <w:rFonts w:ascii="Times New Roman" w:eastAsia="Cambria" w:hAnsi="Times New Roman"/>
          <w:lang w:val="en-US" w:eastAsia="en-US"/>
        </w:rPr>
        <w:t>,</w:t>
      </w:r>
      <w:r w:rsidR="009D1EDB" w:rsidRPr="00D16B79">
        <w:rPr>
          <w:rFonts w:ascii="Times New Roman" w:eastAsia="Cambria" w:hAnsi="Times New Roman"/>
          <w:lang w:val="en-US" w:eastAsia="en-US"/>
        </w:rPr>
        <w:t xml:space="preserve"> </w:t>
      </w:r>
      <w:r w:rsidR="005010B0" w:rsidRPr="00D16B79">
        <w:rPr>
          <w:rFonts w:ascii="Times New Roman" w:eastAsia="Cambria" w:hAnsi="Times New Roman"/>
          <w:lang w:val="en-US" w:eastAsia="en-US"/>
        </w:rPr>
        <w:t xml:space="preserve">but no </w:t>
      </w:r>
      <w:r w:rsidR="00732461" w:rsidRPr="00D16B79">
        <w:rPr>
          <w:rFonts w:ascii="Times New Roman" w:eastAsia="Cambria" w:hAnsi="Times New Roman"/>
          <w:lang w:val="en-US" w:eastAsia="en-US"/>
        </w:rPr>
        <w:t xml:space="preserve">significant </w:t>
      </w:r>
      <w:r w:rsidR="005010B0" w:rsidRPr="00D16B79">
        <w:rPr>
          <w:rFonts w:ascii="Times New Roman" w:eastAsia="Cambria" w:hAnsi="Times New Roman"/>
          <w:lang w:val="en-US" w:eastAsia="en-US"/>
        </w:rPr>
        <w:t xml:space="preserve">evidence of this in </w:t>
      </w:r>
      <w:r w:rsidR="0064557C" w:rsidRPr="00D16B79">
        <w:rPr>
          <w:rFonts w:ascii="Times New Roman" w:eastAsia="Cambria" w:hAnsi="Times New Roman"/>
          <w:lang w:val="en-US" w:eastAsia="en-US"/>
        </w:rPr>
        <w:t>four</w:t>
      </w:r>
      <w:r w:rsidR="005010B0" w:rsidRPr="00D16B79">
        <w:rPr>
          <w:rFonts w:ascii="Times New Roman" w:eastAsia="Cambria" w:hAnsi="Times New Roman"/>
          <w:lang w:val="en-US" w:eastAsia="en-US"/>
        </w:rPr>
        <w:t xml:space="preserve"> other studies (Study </w:t>
      </w:r>
      <w:r w:rsidR="004E65FC" w:rsidRPr="00D16B79">
        <w:rPr>
          <w:rFonts w:ascii="Times New Roman" w:eastAsia="Cambria" w:hAnsi="Times New Roman"/>
          <w:lang w:val="en-US" w:eastAsia="en-US"/>
        </w:rPr>
        <w:t>1</w:t>
      </w:r>
      <w:r w:rsidR="005010B0" w:rsidRPr="00D16B79">
        <w:rPr>
          <w:rFonts w:ascii="Times New Roman" w:eastAsia="Cambria" w:hAnsi="Times New Roman"/>
          <w:lang w:val="en-US" w:eastAsia="en-US"/>
        </w:rPr>
        <w:t xml:space="preserve"> and </w:t>
      </w:r>
      <w:r w:rsidR="008B66DC" w:rsidRPr="00D16B79">
        <w:rPr>
          <w:rFonts w:ascii="Times New Roman" w:eastAsia="Cambria" w:hAnsi="Times New Roman"/>
          <w:lang w:val="en-US" w:eastAsia="en-US"/>
        </w:rPr>
        <w:t>SS</w:t>
      </w:r>
      <w:r w:rsidR="001108C7" w:rsidRPr="00D16B79">
        <w:rPr>
          <w:rFonts w:ascii="Times New Roman" w:eastAsia="Cambria" w:hAnsi="Times New Roman"/>
          <w:lang w:val="en-US" w:eastAsia="en-US"/>
        </w:rPr>
        <w:t>1, S</w:t>
      </w:r>
      <w:r w:rsidR="008B66DC" w:rsidRPr="00D16B79">
        <w:rPr>
          <w:rFonts w:ascii="Times New Roman" w:eastAsia="Cambria" w:hAnsi="Times New Roman"/>
          <w:lang w:val="en-US" w:eastAsia="en-US"/>
        </w:rPr>
        <w:t>S</w:t>
      </w:r>
      <w:r w:rsidR="001108C7" w:rsidRPr="00D16B79">
        <w:rPr>
          <w:rFonts w:ascii="Times New Roman" w:eastAsia="Cambria" w:hAnsi="Times New Roman"/>
          <w:lang w:val="en-US" w:eastAsia="en-US"/>
        </w:rPr>
        <w:t>2,</w:t>
      </w:r>
      <w:r w:rsidR="0064557C" w:rsidRPr="00D16B79">
        <w:rPr>
          <w:rFonts w:ascii="Times New Roman" w:eastAsia="Cambria" w:hAnsi="Times New Roman"/>
          <w:lang w:val="en-US" w:eastAsia="en-US"/>
        </w:rPr>
        <w:t xml:space="preserve"> and S</w:t>
      </w:r>
      <w:r w:rsidR="008B66DC" w:rsidRPr="00D16B79">
        <w:rPr>
          <w:rFonts w:ascii="Times New Roman" w:eastAsia="Cambria" w:hAnsi="Times New Roman"/>
          <w:lang w:val="en-US" w:eastAsia="en-US"/>
        </w:rPr>
        <w:t>S</w:t>
      </w:r>
      <w:r w:rsidR="0064557C" w:rsidRPr="00D16B79">
        <w:rPr>
          <w:rFonts w:ascii="Times New Roman" w:eastAsia="Cambria" w:hAnsi="Times New Roman"/>
          <w:lang w:val="en-US" w:eastAsia="en-US"/>
        </w:rPr>
        <w:t>7</w:t>
      </w:r>
      <w:r w:rsidR="005010B0" w:rsidRPr="00D16B79">
        <w:rPr>
          <w:rFonts w:ascii="Times New Roman" w:eastAsia="Cambria" w:hAnsi="Times New Roman"/>
          <w:lang w:val="en-US" w:eastAsia="en-US"/>
        </w:rPr>
        <w:t xml:space="preserve">). These mixed results indicate </w:t>
      </w:r>
      <w:r w:rsidR="00DE4904" w:rsidRPr="00D16B79">
        <w:rPr>
          <w:rFonts w:ascii="Times New Roman" w:eastAsia="Cambria" w:hAnsi="Times New Roman"/>
          <w:lang w:val="en-US" w:eastAsia="en-US"/>
        </w:rPr>
        <w:t xml:space="preserve">that </w:t>
      </w:r>
      <w:r w:rsidR="005010B0" w:rsidRPr="00D16B79">
        <w:rPr>
          <w:rFonts w:ascii="Times New Roman" w:eastAsia="Cambria" w:hAnsi="Times New Roman"/>
          <w:lang w:val="en-US" w:eastAsia="en-US"/>
        </w:rPr>
        <w:t xml:space="preserve">the strength of the goal gradient effect in separate evaluation </w:t>
      </w:r>
      <w:r w:rsidR="009D1EDB" w:rsidRPr="00D16B79">
        <w:rPr>
          <w:rFonts w:ascii="Times New Roman" w:eastAsia="Cambria" w:hAnsi="Times New Roman"/>
          <w:lang w:val="en-US" w:eastAsia="en-US"/>
        </w:rPr>
        <w:t>in</w:t>
      </w:r>
      <w:r w:rsidR="005010B0" w:rsidRPr="00D16B79">
        <w:rPr>
          <w:rFonts w:ascii="Times New Roman" w:eastAsia="Cambria" w:hAnsi="Times New Roman"/>
          <w:lang w:val="en-US" w:eastAsia="en-US"/>
        </w:rPr>
        <w:t xml:space="preserve"> charitable giving </w:t>
      </w:r>
      <w:r w:rsidR="009D1EDB" w:rsidRPr="00D16B79">
        <w:rPr>
          <w:rFonts w:ascii="Times New Roman" w:eastAsia="Cambria" w:hAnsi="Times New Roman"/>
          <w:lang w:val="en-US" w:eastAsia="en-US"/>
        </w:rPr>
        <w:t xml:space="preserve">contexts </w:t>
      </w:r>
      <w:r w:rsidR="005010B0" w:rsidRPr="00D16B79">
        <w:rPr>
          <w:rFonts w:ascii="Times New Roman" w:eastAsia="Cambria" w:hAnsi="Times New Roman"/>
          <w:lang w:val="en-US" w:eastAsia="en-US"/>
        </w:rPr>
        <w:t>may be more nuanced than previously suggested. It is possible that goal gradient</w:t>
      </w:r>
      <w:r w:rsidR="00732461" w:rsidRPr="00D16B79">
        <w:rPr>
          <w:rFonts w:ascii="Times New Roman" w:eastAsia="Cambria" w:hAnsi="Times New Roman"/>
          <w:lang w:val="en-US" w:eastAsia="en-US"/>
        </w:rPr>
        <w:t xml:space="preserve"> effect</w:t>
      </w:r>
      <w:r w:rsidR="005010B0" w:rsidRPr="00D16B79">
        <w:rPr>
          <w:rFonts w:ascii="Times New Roman" w:eastAsia="Cambria" w:hAnsi="Times New Roman"/>
          <w:lang w:val="en-US" w:eastAsia="en-US"/>
        </w:rPr>
        <w:t xml:space="preserve">s are stronger when individuals </w:t>
      </w:r>
      <w:r w:rsidR="00C515B7" w:rsidRPr="00D16B79">
        <w:rPr>
          <w:rFonts w:ascii="Times New Roman" w:eastAsia="Cambria" w:hAnsi="Times New Roman"/>
          <w:lang w:val="en-US" w:eastAsia="en-US"/>
        </w:rPr>
        <w:t xml:space="preserve">rather than charities </w:t>
      </w:r>
      <w:r w:rsidR="005010B0" w:rsidRPr="00D16B79">
        <w:rPr>
          <w:rFonts w:ascii="Times New Roman" w:eastAsia="Cambria" w:hAnsi="Times New Roman"/>
          <w:lang w:val="en-US" w:eastAsia="en-US"/>
        </w:rPr>
        <w:t xml:space="preserve">are raising money (as in </w:t>
      </w:r>
      <w:r w:rsidR="00DE4904" w:rsidRPr="00D16B79">
        <w:rPr>
          <w:rFonts w:ascii="Times New Roman" w:eastAsia="Cambria" w:hAnsi="Times New Roman"/>
          <w:lang w:val="en-US" w:eastAsia="en-US"/>
        </w:rPr>
        <w:t>S</w:t>
      </w:r>
      <w:r w:rsidR="005010B0" w:rsidRPr="00D16B79">
        <w:rPr>
          <w:rFonts w:ascii="Times New Roman" w:eastAsia="Cambria" w:hAnsi="Times New Roman"/>
          <w:lang w:val="en-US" w:eastAsia="en-US"/>
        </w:rPr>
        <w:t xml:space="preserve">tudy </w:t>
      </w:r>
      <w:r w:rsidR="00036ABF" w:rsidRPr="00D16B79">
        <w:rPr>
          <w:rFonts w:ascii="Times New Roman" w:eastAsia="Cambria" w:hAnsi="Times New Roman"/>
          <w:lang w:val="en-US" w:eastAsia="en-US"/>
        </w:rPr>
        <w:t>2</w:t>
      </w:r>
      <w:r w:rsidR="005010B0" w:rsidRPr="00D16B79">
        <w:rPr>
          <w:rFonts w:ascii="Times New Roman" w:eastAsia="Cambria" w:hAnsi="Times New Roman"/>
          <w:lang w:val="en-US" w:eastAsia="en-US"/>
        </w:rPr>
        <w:t>)</w:t>
      </w:r>
      <w:r w:rsidR="00943830">
        <w:rPr>
          <w:rFonts w:ascii="Times New Roman" w:eastAsia="Cambria" w:hAnsi="Times New Roman"/>
          <w:lang w:val="en-US" w:eastAsia="en-US"/>
        </w:rPr>
        <w:t xml:space="preserve"> perhaps because </w:t>
      </w:r>
      <w:r w:rsidR="005A32E5">
        <w:rPr>
          <w:rFonts w:ascii="Times New Roman" w:eastAsia="Cambria" w:hAnsi="Times New Roman"/>
          <w:lang w:val="en-US" w:eastAsia="en-US"/>
        </w:rPr>
        <w:t>an</w:t>
      </w:r>
      <w:r w:rsidR="00943830">
        <w:rPr>
          <w:rFonts w:ascii="Times New Roman" w:eastAsia="Cambria" w:hAnsi="Times New Roman"/>
          <w:lang w:val="en-US" w:eastAsia="en-US"/>
        </w:rPr>
        <w:t xml:space="preserve"> identifiable </w:t>
      </w:r>
      <w:r w:rsidR="005A32E5">
        <w:rPr>
          <w:rFonts w:ascii="Times New Roman" w:eastAsia="Cambria" w:hAnsi="Times New Roman"/>
          <w:lang w:val="en-US" w:eastAsia="en-US"/>
        </w:rPr>
        <w:t>target</w:t>
      </w:r>
      <w:r w:rsidR="00943830">
        <w:rPr>
          <w:rFonts w:ascii="Times New Roman" w:eastAsia="Cambria" w:hAnsi="Times New Roman"/>
          <w:lang w:val="en-US" w:eastAsia="en-US"/>
        </w:rPr>
        <w:t xml:space="preserve"> increases feelings of impact </w:t>
      </w:r>
      <w:r w:rsidR="00943830">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{"citationID":"gN5ygrPh","properties":{"formattedCitation":"(Jenni and Loewenstein 1997)","plainCitation":"(Jenni and Loewenstein 1997)","noteIndex":0},"citationItems":[{"id":611,"uris":["http://zotero.org/users/4606674/items/76ZEEG8H"],"itemData":{"id":611,"type":"article-journal","abstract":"It is widely believed that people are willing to expend greater resources to save the lives of identified victims than to save equal numbers of unidentified or statistical victims. There are many possible causes of this disparity which have not been enumerated previously or tested empirically. We discuss four possible causes of the identifiable victim effect and present the results of two studies which indicate that the most important cause of the disparity in treatment of identifiable and statistical lives is that, for identifiable victims, a high proportion of those at risk can be saved.","container-title":"Journal of Risk and Uncertainty","DOI":"10.1023/A:1007740225484","ISSN":"0895-5646, 1573-0476","issue":"3","journalAbbreviation":"Journal of Risk and Uncertainty","language":"en","page":"235-257","source":"link.springer.com","title":"Explaining the identifiable victim effect","volume":"14","author":[{"family":"Jenni","given":"Karen"},{"family":"Loewenstein","given":"George"}],"issued":{"date-parts":[["1997",5,1]]}}}],"schema":"https://github.com/citation-style-language/schema/raw/master/csl-citation.json"} </w:instrText>
      </w:r>
      <w:r w:rsidR="00943830">
        <w:rPr>
          <w:rFonts w:ascii="Times New Roman" w:eastAsia="Cambria" w:hAnsi="Times New Roman"/>
          <w:lang w:val="en-US" w:eastAsia="en-US"/>
        </w:rPr>
        <w:fldChar w:fldCharType="separate"/>
      </w:r>
      <w:r w:rsidR="00943830" w:rsidRPr="00943830">
        <w:rPr>
          <w:rFonts w:ascii="Times New Roman" w:hAnsi="Times New Roman"/>
        </w:rPr>
        <w:t>(Jenni and Loewenstein 1997)</w:t>
      </w:r>
      <w:r w:rsidR="00943830">
        <w:rPr>
          <w:rFonts w:ascii="Times New Roman" w:eastAsia="Cambria" w:hAnsi="Times New Roman"/>
          <w:lang w:val="en-US" w:eastAsia="en-US"/>
        </w:rPr>
        <w:fldChar w:fldCharType="end"/>
      </w:r>
      <w:r w:rsidR="005A32E5">
        <w:rPr>
          <w:rFonts w:ascii="Times New Roman" w:eastAsia="Cambria" w:hAnsi="Times New Roman"/>
          <w:lang w:val="en-US" w:eastAsia="en-US"/>
        </w:rPr>
        <w:t xml:space="preserve">. </w:t>
      </w:r>
      <w:r w:rsidR="007A2D83">
        <w:rPr>
          <w:rFonts w:ascii="Times New Roman" w:eastAsia="Cambria" w:hAnsi="Times New Roman"/>
          <w:lang w:val="en-US" w:eastAsia="en-US"/>
        </w:rPr>
        <w:t>The inferences consumers make concerning goal progress in separate evaluation are likely to be context-</w:t>
      </w:r>
      <w:r w:rsidR="007A2D83">
        <w:rPr>
          <w:rFonts w:ascii="Times New Roman" w:eastAsia="Cambria" w:hAnsi="Times New Roman"/>
          <w:lang w:val="en-US" w:eastAsia="en-US"/>
        </w:rPr>
        <w:lastRenderedPageBreak/>
        <w:t>dependent,</w:t>
      </w:r>
      <w:r w:rsidR="00FE101D">
        <w:rPr>
          <w:rFonts w:ascii="Times New Roman" w:eastAsia="Cambria" w:hAnsi="Times New Roman"/>
          <w:lang w:val="en-US" w:eastAsia="en-US"/>
        </w:rPr>
        <w:t xml:space="preserve"> possibly </w:t>
      </w:r>
      <w:r w:rsidR="005A32E5">
        <w:rPr>
          <w:rFonts w:ascii="Times New Roman" w:eastAsia="Cambria" w:hAnsi="Times New Roman"/>
          <w:lang w:val="en-US" w:eastAsia="en-US"/>
        </w:rPr>
        <w:t>inferring greater competence at higher progress levels for for-profits, leading to higher donations (Study 4).</w:t>
      </w:r>
    </w:p>
    <w:p w14:paraId="78F5E4C9" w14:textId="6374CC10" w:rsidR="005010B0" w:rsidRPr="00D16B79" w:rsidRDefault="00A11D4B" w:rsidP="008D1A90">
      <w:pPr>
        <w:spacing w:line="480" w:lineRule="auto"/>
        <w:ind w:firstLine="720"/>
        <w:rPr>
          <w:rFonts w:ascii="Times New Roman" w:eastAsia="Cambria" w:hAnsi="Times New Roman"/>
          <w:lang w:val="en-US" w:eastAsia="en-US"/>
        </w:rPr>
      </w:pPr>
      <w:r>
        <w:rPr>
          <w:rFonts w:asciiTheme="majorHAnsi" w:eastAsia="Times New Roman" w:hAnsiTheme="majorHAnsi" w:cstheme="majorHAnsi"/>
          <w:color w:val="222222"/>
        </w:rPr>
        <w:t>In addition, in Study 5A we find that the closing the gap effect was attenuated when the size of the gap was 40% (30% and 70%)</w:t>
      </w:r>
      <w:r w:rsidR="004402B6">
        <w:rPr>
          <w:rFonts w:asciiTheme="majorHAnsi" w:eastAsia="Times New Roman" w:hAnsiTheme="majorHAnsi" w:cstheme="majorHAnsi"/>
          <w:color w:val="222222"/>
        </w:rPr>
        <w:t xml:space="preserve"> while in</w:t>
      </w:r>
      <w:r>
        <w:rPr>
          <w:rFonts w:asciiTheme="majorHAnsi" w:eastAsia="Times New Roman" w:hAnsiTheme="majorHAnsi" w:cstheme="majorHAnsi"/>
          <w:color w:val="222222"/>
        </w:rPr>
        <w:t xml:space="preserve"> Study 3 we find that a similar gap of 40% between the charity farthest and the one in the middle (10% and 50%)</w:t>
      </w:r>
      <w:r w:rsidR="00FE101D">
        <w:rPr>
          <w:rFonts w:asciiTheme="majorHAnsi" w:eastAsia="Times New Roman" w:hAnsiTheme="majorHAnsi" w:cstheme="majorHAnsi"/>
          <w:color w:val="222222"/>
        </w:rPr>
        <w:t xml:space="preserve"> led to greater donations to the charity farthest from its goal</w:t>
      </w:r>
      <w:r>
        <w:rPr>
          <w:rFonts w:asciiTheme="majorHAnsi" w:eastAsia="Times New Roman" w:hAnsiTheme="majorHAnsi" w:cstheme="majorHAnsi"/>
          <w:color w:val="222222"/>
        </w:rPr>
        <w:t xml:space="preserve">. </w:t>
      </w:r>
      <w:r w:rsidR="00FE101D">
        <w:rPr>
          <w:rFonts w:asciiTheme="majorHAnsi" w:eastAsia="Times New Roman" w:hAnsiTheme="majorHAnsi" w:cstheme="majorHAnsi"/>
          <w:color w:val="222222"/>
        </w:rPr>
        <w:t>I</w:t>
      </w:r>
      <w:r>
        <w:rPr>
          <w:rFonts w:asciiTheme="majorHAnsi" w:eastAsia="Times New Roman" w:hAnsiTheme="majorHAnsi" w:cstheme="majorHAnsi"/>
          <w:color w:val="222222"/>
        </w:rPr>
        <w:t xml:space="preserve">t is possible that </w:t>
      </w:r>
      <w:r w:rsidR="00FE101D">
        <w:rPr>
          <w:rFonts w:asciiTheme="majorHAnsi" w:eastAsia="Times New Roman" w:hAnsiTheme="majorHAnsi" w:cstheme="majorHAnsi"/>
          <w:color w:val="222222"/>
        </w:rPr>
        <w:t xml:space="preserve">the progress of the charity </w:t>
      </w:r>
      <w:proofErr w:type="spellStart"/>
      <w:r w:rsidR="00FE101D">
        <w:rPr>
          <w:rFonts w:asciiTheme="majorHAnsi" w:eastAsia="Times New Roman" w:hAnsiTheme="majorHAnsi" w:cstheme="majorHAnsi"/>
          <w:color w:val="222222"/>
        </w:rPr>
        <w:t>farthese</w:t>
      </w:r>
      <w:proofErr w:type="spellEnd"/>
      <w:r w:rsidR="00FE101D">
        <w:rPr>
          <w:rFonts w:asciiTheme="majorHAnsi" w:eastAsia="Times New Roman" w:hAnsiTheme="majorHAnsi" w:cstheme="majorHAnsi"/>
          <w:color w:val="222222"/>
        </w:rPr>
        <w:t xml:space="preserve"> from its goal</w:t>
      </w:r>
      <w:r>
        <w:rPr>
          <w:rFonts w:asciiTheme="majorHAnsi" w:eastAsia="Times New Roman" w:hAnsiTheme="majorHAnsi" w:cstheme="majorHAnsi"/>
          <w:color w:val="222222"/>
        </w:rPr>
        <w:t xml:space="preserve"> needs to be below a certain threshold for the closing the gap effect to occur. Previous work supports the notion that projects tend to get “stuck in the middle” (</w:t>
      </w:r>
      <w:proofErr w:type="spellStart"/>
      <w:r>
        <w:rPr>
          <w:rFonts w:asciiTheme="majorHAnsi" w:eastAsia="Times New Roman" w:hAnsiTheme="majorHAnsi" w:cstheme="majorHAnsi"/>
          <w:color w:val="222222"/>
        </w:rPr>
        <w:t>Bonezzi</w:t>
      </w:r>
      <w:proofErr w:type="spellEnd"/>
      <w:r>
        <w:rPr>
          <w:rFonts w:asciiTheme="majorHAnsi" w:eastAsia="Times New Roman" w:hAnsiTheme="majorHAnsi" w:cstheme="majorHAnsi"/>
          <w:color w:val="222222"/>
        </w:rPr>
        <w:t xml:space="preserve"> et al. 2011) and that a moderate level of goal progress can sometimes be the most demotivating. </w:t>
      </w:r>
      <w:r w:rsidR="00AD36D2">
        <w:rPr>
          <w:rFonts w:asciiTheme="majorHAnsi" w:eastAsia="Times New Roman" w:hAnsiTheme="majorHAnsi" w:cstheme="majorHAnsi"/>
          <w:color w:val="222222"/>
        </w:rPr>
        <w:t xml:space="preserve">In addition, when the charities have 10% vs. 50% progress, the second charity has raised five times as much and this may make the difference feel larger than when the charities have 30% vs. 70% progress where the second charity has raised double that of the first. </w:t>
      </w:r>
    </w:p>
    <w:p w14:paraId="0C56DFBE" w14:textId="53EA68FC" w:rsidR="005010B0" w:rsidRPr="00D16B79" w:rsidRDefault="00C170C4" w:rsidP="008D1A9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Second</w:t>
      </w:r>
      <w:r w:rsidR="005010B0" w:rsidRPr="00D16B79">
        <w:rPr>
          <w:rFonts w:ascii="Times New Roman" w:eastAsia="Cambria" w:hAnsi="Times New Roman"/>
          <w:lang w:val="en-US" w:eastAsia="en-US"/>
        </w:rPr>
        <w:t xml:space="preserve">, </w:t>
      </w:r>
      <w:r w:rsidR="005B3141" w:rsidRPr="00D16B79">
        <w:rPr>
          <w:rFonts w:ascii="Times New Roman" w:eastAsia="Cambria" w:hAnsi="Times New Roman"/>
          <w:lang w:val="en-US" w:eastAsia="en-US"/>
        </w:rPr>
        <w:t>we</w:t>
      </w:r>
      <w:r w:rsidR="005010B0" w:rsidRPr="00D16B79">
        <w:rPr>
          <w:rFonts w:ascii="Times New Roman" w:eastAsia="Cambria" w:hAnsi="Times New Roman"/>
          <w:lang w:val="en-US" w:eastAsia="en-US"/>
        </w:rPr>
        <w:t xml:space="preserve"> illustrate the underlying psychological process for this effect</w:t>
      </w:r>
      <w:r w:rsidR="00101822" w:rsidRPr="00D16B79">
        <w:rPr>
          <w:rFonts w:ascii="Times New Roman" w:eastAsia="Cambria" w:hAnsi="Times New Roman"/>
          <w:lang w:val="en-US" w:eastAsia="en-US"/>
        </w:rPr>
        <w:t xml:space="preserve">. </w:t>
      </w:r>
      <w:r w:rsidR="00B73AE7" w:rsidRPr="00D16B79">
        <w:rPr>
          <w:rFonts w:ascii="Times New Roman" w:eastAsia="Cambria" w:hAnsi="Times New Roman"/>
          <w:lang w:val="en-US" w:eastAsia="en-US"/>
        </w:rPr>
        <w:t xml:space="preserve">We theorize that the joint </w:t>
      </w:r>
      <w:r w:rsidR="00101822" w:rsidRPr="00FE101D">
        <w:rPr>
          <w:rFonts w:ascii="Times New Roman" w:eastAsia="Cambria" w:hAnsi="Times New Roman"/>
          <w:lang w:val="en-US" w:eastAsia="en-US"/>
        </w:rPr>
        <w:t xml:space="preserve">evaluation </w:t>
      </w:r>
      <w:r w:rsidR="00B73AE7" w:rsidRPr="00FE101D">
        <w:rPr>
          <w:rFonts w:ascii="Times New Roman" w:eastAsia="Cambria" w:hAnsi="Times New Roman"/>
          <w:lang w:val="en-US" w:eastAsia="en-US"/>
        </w:rPr>
        <w:t xml:space="preserve">context </w:t>
      </w:r>
      <w:r w:rsidR="00B901F7" w:rsidRPr="00FE101D">
        <w:rPr>
          <w:rFonts w:ascii="Times New Roman" w:eastAsia="Cambria" w:hAnsi="Times New Roman"/>
          <w:lang w:val="en-US" w:eastAsia="en-US"/>
        </w:rPr>
        <w:t>mak</w:t>
      </w:r>
      <w:r w:rsidR="006930C3" w:rsidRPr="00FE101D">
        <w:rPr>
          <w:rFonts w:ascii="Times New Roman" w:eastAsia="Cambria" w:hAnsi="Times New Roman"/>
          <w:lang w:val="en-US" w:eastAsia="en-US"/>
        </w:rPr>
        <w:t>es</w:t>
      </w:r>
      <w:r w:rsidR="00B73AE7" w:rsidRPr="00FE101D">
        <w:rPr>
          <w:rFonts w:ascii="Times New Roman" w:eastAsia="Cambria" w:hAnsi="Times New Roman"/>
          <w:lang w:val="en-US" w:eastAsia="en-US"/>
        </w:rPr>
        <w:t xml:space="preserve"> </w:t>
      </w:r>
      <w:r w:rsidR="00DC5BB9" w:rsidRPr="00FE101D">
        <w:rPr>
          <w:rFonts w:ascii="Times New Roman" w:eastAsia="Cambria" w:hAnsi="Times New Roman"/>
          <w:lang w:val="en-US" w:eastAsia="en-US"/>
        </w:rPr>
        <w:t xml:space="preserve">relative need for help </w:t>
      </w:r>
      <w:r w:rsidR="00A81C8F" w:rsidRPr="00FE101D">
        <w:rPr>
          <w:rFonts w:ascii="Times New Roman" w:eastAsia="Cambria" w:hAnsi="Times New Roman"/>
          <w:lang w:val="en-US" w:eastAsia="en-US"/>
        </w:rPr>
        <w:t xml:space="preserve">more salient and </w:t>
      </w:r>
      <w:r w:rsidR="001E0EE4" w:rsidRPr="00FE101D">
        <w:rPr>
          <w:rFonts w:ascii="Times New Roman" w:eastAsia="Cambria" w:hAnsi="Times New Roman"/>
          <w:lang w:val="en-US" w:eastAsia="en-US"/>
        </w:rPr>
        <w:t>easier to evaluate</w:t>
      </w:r>
      <w:r w:rsidR="00FE101D" w:rsidRPr="00FE101D">
        <w:rPr>
          <w:rFonts w:ascii="Times New Roman" w:eastAsia="Cambria" w:hAnsi="Times New Roman"/>
          <w:lang w:val="en-US" w:eastAsia="en-US"/>
        </w:rPr>
        <w:t xml:space="preserve"> and </w:t>
      </w:r>
      <w:r w:rsidR="00DC5BB9" w:rsidRPr="00FE101D">
        <w:rPr>
          <w:rFonts w:ascii="Times New Roman" w:eastAsia="Cambria" w:hAnsi="Times New Roman"/>
          <w:lang w:val="en-US" w:eastAsia="en-US"/>
        </w:rPr>
        <w:t xml:space="preserve">show that need for help mediates the effect (Studies </w:t>
      </w:r>
      <w:r w:rsidR="00E53E68" w:rsidRPr="00FE101D">
        <w:rPr>
          <w:rFonts w:ascii="Times New Roman" w:eastAsia="Cambria" w:hAnsi="Times New Roman"/>
          <w:lang w:val="en-US" w:eastAsia="en-US"/>
        </w:rPr>
        <w:t>1, 2 and 4</w:t>
      </w:r>
      <w:r w:rsidR="00DC5BB9" w:rsidRPr="00FE101D">
        <w:rPr>
          <w:rFonts w:ascii="Times New Roman" w:eastAsia="Cambria" w:hAnsi="Times New Roman"/>
          <w:lang w:val="en-US" w:eastAsia="en-US"/>
        </w:rPr>
        <w:t xml:space="preserve">). </w:t>
      </w:r>
      <w:r w:rsidR="00B901F7" w:rsidRPr="00FE101D">
        <w:rPr>
          <w:rFonts w:ascii="Times New Roman" w:eastAsia="Cambria" w:hAnsi="Times New Roman"/>
          <w:lang w:val="en-US" w:eastAsia="en-US"/>
        </w:rPr>
        <w:t>F</w:t>
      </w:r>
      <w:r w:rsidR="00AD6AD7" w:rsidRPr="00FE101D">
        <w:rPr>
          <w:rFonts w:ascii="Times New Roman" w:eastAsia="Cambria" w:hAnsi="Times New Roman"/>
          <w:lang w:val="en-US" w:eastAsia="en-US"/>
        </w:rPr>
        <w:t>urthermore</w:t>
      </w:r>
      <w:r w:rsidR="00B901F7" w:rsidRPr="00FE101D">
        <w:rPr>
          <w:rFonts w:ascii="Times New Roman" w:eastAsia="Cambria" w:hAnsi="Times New Roman"/>
          <w:lang w:val="en-US" w:eastAsia="en-US"/>
        </w:rPr>
        <w:t xml:space="preserve">, </w:t>
      </w:r>
      <w:r w:rsidR="00DC5BB9" w:rsidRPr="00FE101D">
        <w:rPr>
          <w:rFonts w:ascii="Times New Roman" w:eastAsia="Cambria" w:hAnsi="Times New Roman"/>
          <w:lang w:val="en-US" w:eastAsia="en-US"/>
        </w:rPr>
        <w:t xml:space="preserve">we look at </w:t>
      </w:r>
      <w:r w:rsidR="00F72799" w:rsidRPr="00FE101D">
        <w:rPr>
          <w:rFonts w:ascii="Times New Roman" w:eastAsia="Cambria" w:hAnsi="Times New Roman"/>
          <w:lang w:val="en-US" w:eastAsia="en-US"/>
        </w:rPr>
        <w:t xml:space="preserve">key </w:t>
      </w:r>
      <w:r w:rsidR="00DC5BB9" w:rsidRPr="00FE101D">
        <w:rPr>
          <w:rFonts w:ascii="Times New Roman" w:eastAsia="Cambria" w:hAnsi="Times New Roman"/>
          <w:lang w:val="en-US" w:eastAsia="en-US"/>
        </w:rPr>
        <w:t xml:space="preserve">theoretically-relevant moderators of the </w:t>
      </w:r>
      <w:r w:rsidR="00FE101D" w:rsidRPr="00FE101D">
        <w:rPr>
          <w:rFonts w:ascii="Times New Roman" w:eastAsia="Cambria" w:hAnsi="Times New Roman"/>
          <w:lang w:val="en-US" w:eastAsia="en-US"/>
        </w:rPr>
        <w:t>closing the gap</w:t>
      </w:r>
      <w:r w:rsidR="00DC5BB9" w:rsidRPr="00FE101D">
        <w:rPr>
          <w:rFonts w:ascii="Times New Roman" w:eastAsia="Cambria" w:hAnsi="Times New Roman"/>
          <w:lang w:val="en-US" w:eastAsia="en-US"/>
        </w:rPr>
        <w:t xml:space="preserve"> effect. </w:t>
      </w:r>
      <w:r w:rsidR="00F72799" w:rsidRPr="00FE101D">
        <w:rPr>
          <w:rFonts w:ascii="Times New Roman" w:eastAsia="Cambria" w:hAnsi="Times New Roman"/>
          <w:lang w:val="en-US" w:eastAsia="en-US"/>
        </w:rPr>
        <w:t>T</w:t>
      </w:r>
      <w:r w:rsidR="00B901F7" w:rsidRPr="00FE101D">
        <w:rPr>
          <w:rFonts w:ascii="Times New Roman" w:eastAsia="Cambria" w:hAnsi="Times New Roman"/>
          <w:lang w:val="en-US" w:eastAsia="en-US"/>
        </w:rPr>
        <w:t>he</w:t>
      </w:r>
      <w:r w:rsidR="00B73AE7" w:rsidRPr="00FE101D">
        <w:rPr>
          <w:rFonts w:ascii="Times New Roman" w:eastAsia="Cambria" w:hAnsi="Times New Roman"/>
          <w:lang w:val="en-US" w:eastAsia="en-US"/>
        </w:rPr>
        <w:t xml:space="preserve"> </w:t>
      </w:r>
      <w:r w:rsidR="00E769E0" w:rsidRPr="00FE101D">
        <w:rPr>
          <w:rFonts w:ascii="Times New Roman" w:eastAsia="Cambria" w:hAnsi="Times New Roman"/>
          <w:lang w:val="en-US" w:eastAsia="en-US"/>
        </w:rPr>
        <w:t xml:space="preserve">prosocial </w:t>
      </w:r>
      <w:r w:rsidR="00B73AE7" w:rsidRPr="00FE101D">
        <w:rPr>
          <w:rFonts w:ascii="Times New Roman" w:eastAsia="Cambria" w:hAnsi="Times New Roman"/>
          <w:lang w:val="en-US" w:eastAsia="en-US"/>
        </w:rPr>
        <w:t xml:space="preserve">nature of </w:t>
      </w:r>
      <w:r w:rsidR="00DC5BB9" w:rsidRPr="00FE101D">
        <w:rPr>
          <w:rFonts w:ascii="Times New Roman" w:eastAsia="Cambria" w:hAnsi="Times New Roman"/>
          <w:lang w:val="en-US" w:eastAsia="en-US"/>
        </w:rPr>
        <w:t>a non-profit (versus for</w:t>
      </w:r>
      <w:r w:rsidR="00F72799" w:rsidRPr="00FE101D">
        <w:rPr>
          <w:rFonts w:ascii="Times New Roman" w:eastAsia="Cambria" w:hAnsi="Times New Roman"/>
          <w:lang w:val="en-US" w:eastAsia="en-US"/>
        </w:rPr>
        <w:t>-</w:t>
      </w:r>
      <w:r w:rsidR="00DC5BB9" w:rsidRPr="00FE101D">
        <w:rPr>
          <w:rFonts w:ascii="Times New Roman" w:eastAsia="Cambria" w:hAnsi="Times New Roman"/>
          <w:lang w:val="en-US" w:eastAsia="en-US"/>
        </w:rPr>
        <w:t>profit</w:t>
      </w:r>
      <w:r w:rsidR="00F72799" w:rsidRPr="00FE101D">
        <w:rPr>
          <w:rFonts w:ascii="Times New Roman" w:eastAsia="Cambria" w:hAnsi="Times New Roman"/>
          <w:lang w:val="en-US" w:eastAsia="en-US"/>
        </w:rPr>
        <w:t>)</w:t>
      </w:r>
      <w:r w:rsidR="00DC5BB9" w:rsidRPr="00FE101D">
        <w:rPr>
          <w:rFonts w:ascii="Times New Roman" w:eastAsia="Cambria" w:hAnsi="Times New Roman"/>
          <w:lang w:val="en-US" w:eastAsia="en-US"/>
        </w:rPr>
        <w:t xml:space="preserve"> context</w:t>
      </w:r>
      <w:r w:rsidR="00B73AE7" w:rsidRPr="00FE101D">
        <w:rPr>
          <w:rFonts w:ascii="Times New Roman" w:eastAsia="Cambria" w:hAnsi="Times New Roman"/>
          <w:lang w:val="en-US" w:eastAsia="en-US"/>
        </w:rPr>
        <w:t xml:space="preserve"> </w:t>
      </w:r>
      <w:r w:rsidR="000064B0" w:rsidRPr="00FE101D">
        <w:rPr>
          <w:rFonts w:ascii="Times New Roman" w:eastAsia="Cambria" w:hAnsi="Times New Roman"/>
          <w:lang w:val="en-US" w:eastAsia="en-US"/>
        </w:rPr>
        <w:t>heightens sensitivity and responsiveness to need</w:t>
      </w:r>
      <w:r w:rsidR="00A1011D" w:rsidRPr="00FE101D">
        <w:rPr>
          <w:rFonts w:ascii="Times New Roman" w:eastAsia="Cambria" w:hAnsi="Times New Roman"/>
          <w:lang w:val="en-US" w:eastAsia="en-US"/>
        </w:rPr>
        <w:t xml:space="preserve"> for help</w:t>
      </w:r>
      <w:r w:rsidR="00297B16" w:rsidRPr="00FE101D">
        <w:rPr>
          <w:rFonts w:ascii="Times New Roman" w:eastAsia="Cambria" w:hAnsi="Times New Roman"/>
          <w:lang w:val="en-US" w:eastAsia="en-US"/>
        </w:rPr>
        <w:t xml:space="preserve"> </w:t>
      </w:r>
      <w:r w:rsidR="00DC5BB9" w:rsidRPr="00FE101D">
        <w:rPr>
          <w:rFonts w:ascii="Times New Roman" w:eastAsia="Cambria" w:hAnsi="Times New Roman"/>
          <w:lang w:val="en-US" w:eastAsia="en-US"/>
        </w:rPr>
        <w:t xml:space="preserve">(Study </w:t>
      </w:r>
      <w:r w:rsidR="00F72799" w:rsidRPr="00FE101D">
        <w:rPr>
          <w:rFonts w:ascii="Times New Roman" w:eastAsia="Cambria" w:hAnsi="Times New Roman"/>
          <w:lang w:val="en-US" w:eastAsia="en-US"/>
        </w:rPr>
        <w:t>4</w:t>
      </w:r>
      <w:r w:rsidR="00DC5BB9" w:rsidRPr="00FE101D">
        <w:rPr>
          <w:rFonts w:ascii="Times New Roman" w:eastAsia="Cambria" w:hAnsi="Times New Roman"/>
          <w:lang w:val="en-US" w:eastAsia="en-US"/>
        </w:rPr>
        <w:t>)</w:t>
      </w:r>
      <w:r w:rsidR="005010B0" w:rsidRPr="00FE101D">
        <w:rPr>
          <w:rFonts w:ascii="Times New Roman" w:eastAsia="Cambria" w:hAnsi="Times New Roman"/>
          <w:lang w:val="en-US" w:eastAsia="en-US"/>
        </w:rPr>
        <w:t>.</w:t>
      </w:r>
      <w:r w:rsidR="00DC5BB9" w:rsidRPr="00FE101D">
        <w:rPr>
          <w:rFonts w:ascii="Times New Roman" w:eastAsia="Cambria" w:hAnsi="Times New Roman"/>
          <w:lang w:val="en-US" w:eastAsia="en-US"/>
        </w:rPr>
        <w:t xml:space="preserve"> </w:t>
      </w:r>
      <w:r w:rsidR="00F72799" w:rsidRPr="00FE101D">
        <w:rPr>
          <w:rFonts w:ascii="Times New Roman" w:eastAsia="Cambria" w:hAnsi="Times New Roman"/>
          <w:lang w:val="en-US" w:eastAsia="en-US"/>
        </w:rPr>
        <w:t>Moreover, when the gap size between the goal progress of two charities is decreased (such that relative need is diminished) our observed effects are eliminated (Study 5</w:t>
      </w:r>
      <w:r w:rsidR="00E53E68" w:rsidRPr="00FE101D">
        <w:rPr>
          <w:rFonts w:ascii="Times New Roman" w:eastAsia="Cambria" w:hAnsi="Times New Roman"/>
          <w:lang w:val="en-US" w:eastAsia="en-US"/>
        </w:rPr>
        <w:t>A</w:t>
      </w:r>
      <w:r w:rsidR="00F72799" w:rsidRPr="00FE101D">
        <w:rPr>
          <w:rFonts w:ascii="Times New Roman" w:eastAsia="Cambria" w:hAnsi="Times New Roman"/>
          <w:lang w:val="en-US" w:eastAsia="en-US"/>
        </w:rPr>
        <w:t>)</w:t>
      </w:r>
      <w:r w:rsidR="005010B0" w:rsidRPr="00FE101D">
        <w:rPr>
          <w:rFonts w:ascii="Times New Roman" w:eastAsia="Cambria" w:hAnsi="Times New Roman"/>
          <w:lang w:val="en-US" w:eastAsia="en-US"/>
        </w:rPr>
        <w:t xml:space="preserve"> </w:t>
      </w:r>
      <w:r w:rsidR="00A26192" w:rsidRPr="00FE101D">
        <w:rPr>
          <w:rFonts w:ascii="Times New Roman" w:eastAsia="Cambria" w:hAnsi="Times New Roman"/>
          <w:lang w:val="en-US" w:eastAsia="en-US"/>
        </w:rPr>
        <w:t>This</w:t>
      </w:r>
      <w:r w:rsidR="00A26192" w:rsidRPr="00D16B79">
        <w:rPr>
          <w:rFonts w:ascii="Times New Roman" w:eastAsia="Cambria" w:hAnsi="Times New Roman"/>
          <w:lang w:val="en-US" w:eastAsia="en-US"/>
        </w:rPr>
        <w:t xml:space="preserve"> </w:t>
      </w:r>
      <w:r w:rsidR="00A1011D">
        <w:rPr>
          <w:rFonts w:ascii="Times New Roman" w:eastAsia="Cambria" w:hAnsi="Times New Roman"/>
          <w:lang w:val="en-US" w:eastAsia="en-US"/>
        </w:rPr>
        <w:t xml:space="preserve">builds on existing work in inference making and need for progress </w:t>
      </w:r>
      <w:r w:rsidR="00A1011D">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{"citationID":"WcHIExIA","properties":{"formattedCitation":"(Fishbach, Henderson, and Koo 2011)","plainCitation":"(Fishbach, Henderson, and Koo 2011)","noteIndex":0},"citationItems":[{"id":14820,"uris":["http://zotero.org/users/4606674/items/66YHUSDR"],"itemData":{"id":14820,"type":"article-journal","abstract":"This article addresses what factors best motivate individuals to work toward shared goals. We propose that when individuals do not identify highly with a group, their contributions will mimic others': An emphasis on things done will increase their contributions toward achieving a goal, because such emphasis suggests the goal is worth pursuing. Conversely, we propose that when individuals identify highly with a group, their contributions will compensate for others': An emphasis on things left undone will increase their own contributions, because missing contributions suggest insufficient progress toward a goal they already consider worthwhile. Five studies lend support to these predictions by measuring contributions to goals centered on idea generation and helping victims of various global disasters (earthquake in Haiti, wildfires in Southern California, rioting in Kenya). (PsycINFO Database Record (c) 2016 APA, all rights reserved)","container-title":"Journal of Experimental Psychology: General","DOI":"10.1037/a0023907","ISSN":"1939-2222","issue":"3","note":"publisher-place: US\npublisher: American Psychological Association","page":"520-534","source":"APA PsycNet","title":"Pursuing goals with others: Group identification and motivation resulting from things done versus things left undone","title-short":"Pursuing goals with others","volume":"140","author":[{"family":"Fishbach","given":"Ayelet"},{"family":"Henderson","given":"Marlone D."},{"family":"Koo","given":"Minjung"}],"issued":{"date-parts":[["2011"]]}}}],"schema":"https://github.com/citation-style-language/schema/raw/master/csl-citation.json"} </w:instrText>
      </w:r>
      <w:r w:rsidR="00A1011D">
        <w:rPr>
          <w:rFonts w:ascii="Times New Roman" w:eastAsia="Cambria" w:hAnsi="Times New Roman"/>
          <w:lang w:val="en-US" w:eastAsia="en-US"/>
        </w:rPr>
        <w:fldChar w:fldCharType="separate"/>
      </w:r>
      <w:r w:rsidR="00A1011D" w:rsidRPr="00A1011D">
        <w:rPr>
          <w:rFonts w:ascii="Times New Roman" w:hAnsi="Times New Roman"/>
        </w:rPr>
        <w:t>(Fishbach, Henderson, and Koo 2011)</w:t>
      </w:r>
      <w:r w:rsidR="00A1011D">
        <w:rPr>
          <w:rFonts w:ascii="Times New Roman" w:eastAsia="Cambria" w:hAnsi="Times New Roman"/>
          <w:lang w:val="en-US" w:eastAsia="en-US"/>
        </w:rPr>
        <w:fldChar w:fldCharType="end"/>
      </w:r>
      <w:r w:rsidR="00A1011D">
        <w:rPr>
          <w:rFonts w:ascii="Times New Roman" w:eastAsia="Cambria" w:hAnsi="Times New Roman"/>
          <w:lang w:val="en-US" w:eastAsia="en-US"/>
        </w:rPr>
        <w:t xml:space="preserve"> by demonstrating </w:t>
      </w:r>
      <w:r w:rsidR="00FE101D">
        <w:rPr>
          <w:rFonts w:ascii="Times New Roman" w:eastAsia="Cambria" w:hAnsi="Times New Roman"/>
          <w:lang w:val="en-US" w:eastAsia="en-US"/>
        </w:rPr>
        <w:t xml:space="preserve">that </w:t>
      </w:r>
      <w:r w:rsidR="00A1011D">
        <w:rPr>
          <w:rFonts w:ascii="Times New Roman" w:eastAsia="Cambria" w:hAnsi="Times New Roman"/>
          <w:lang w:val="en-US" w:eastAsia="en-US"/>
        </w:rPr>
        <w:t xml:space="preserve">perceptions of the degree of need for help </w:t>
      </w:r>
      <w:r w:rsidR="00F72799">
        <w:rPr>
          <w:rFonts w:ascii="Times New Roman" w:eastAsia="Cambria" w:hAnsi="Times New Roman"/>
          <w:lang w:val="en-US" w:eastAsia="en-US"/>
        </w:rPr>
        <w:t xml:space="preserve">can drive charitable giving. </w:t>
      </w:r>
    </w:p>
    <w:p w14:paraId="252A614B" w14:textId="62CA6F80" w:rsidR="00714397" w:rsidRPr="00D16B79" w:rsidRDefault="00714397" w:rsidP="00A2726A">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Third, this work contributes to </w:t>
      </w:r>
      <w:r w:rsidR="00CB51C9" w:rsidRPr="00D16B79">
        <w:rPr>
          <w:rFonts w:ascii="Times New Roman" w:eastAsia="Cambria" w:hAnsi="Times New Roman"/>
          <w:lang w:val="en-US" w:eastAsia="en-US"/>
        </w:rPr>
        <w:t>research</w:t>
      </w:r>
      <w:r w:rsidR="001F680B" w:rsidRPr="00D16B79">
        <w:rPr>
          <w:rFonts w:ascii="Times New Roman" w:eastAsia="Cambria" w:hAnsi="Times New Roman"/>
          <w:lang w:val="en-US" w:eastAsia="en-US"/>
        </w:rPr>
        <w:t xml:space="preserve"> on evaluation mode, and the </w:t>
      </w:r>
      <w:r w:rsidR="00997BC4" w:rsidRPr="00D16B79">
        <w:rPr>
          <w:rFonts w:ascii="Times New Roman" w:eastAsia="Cambria" w:hAnsi="Times New Roman"/>
          <w:lang w:val="en-US" w:eastAsia="en-US"/>
        </w:rPr>
        <w:t>ways in which consumer behavior changes between joint and separate evaluation</w:t>
      </w:r>
      <w:r w:rsidR="003066AD" w:rsidRPr="00D16B79">
        <w:rPr>
          <w:rFonts w:ascii="Times New Roman" w:eastAsia="Cambria" w:hAnsi="Times New Roman"/>
          <w:lang w:val="en-US" w:eastAsia="en-US"/>
        </w:rPr>
        <w:t xml:space="preserve"> </w:t>
      </w:r>
      <w:r w:rsidR="003066AD"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{"citationID":"82Q344sv","properties":{"formattedCitation":"(Hsee 1996; Li and Hsee 2019)","plainCitation":"(Hsee 1996; Li and Hsee 2019)","noteIndex":0},"citationItems":[{"id":2092,"uris":["http://zotero.org/users/4606674/items/JM2BGTWU"],"itemData":{"id":2092,"type":"article-journal","container-title":"Organizational Behavior and Human Decision Processes","DOI":"10.1006/obhd.1996.0077","ISSN":"07495978","issue":"3","journalAbbreviation":"Organizational Behavior and Human Decision Processes","language":"en","page":"247-257","source":"DOI.org (Crossref)","title":"The Evaluability Hypothesis: An Explanation for Preference Reversals between Joint and Separate Evaluations of Alternatives","title-short":"The Evaluability Hypothesis","volume":"67","author":[{"family":"Hsee","given":"Christopher K."}],"issued":{"date-parts":[["1996",9]]}}},{"id":2090,"uris":["http://zotero.org/users/4606674/items/LYAB4Y25"],"itemData":{"id":2090,"type":"article-journal","abstract":"Extensive existing research has studied how decisions differ between joint evaluation (JE) and single evaluation (SE), but most of the research aims to demonstrate preference reversals between two alternatives that vary on two attributes simultaneously. Thus, extant research cannot tell whether the reversal occurs because one of the attributes has a greater effect in JE than in SE, or the other attribute has a greater effect in SE than in JE, or both. Going beyond preference reversals, this research examines options that vary on only one attribute and studies whether the single attribute has a greater effect in JE or SE. We posit that any single attribute has two underlying characteristics—evaluability (i.e., whether people can evaluate a given value of the attribute without having to compare it with other values) and justifiability (i.e., whether people believe they should base their decisions on the attribute). Whether the single attribute has a greater effect in JE or SE depends on both the attribute’s evaluability and justifiability. Specifically, (a) a high-justifiability/low-evaluability attribute (e.g., whether a candidate for a programming job has written 100 or 200 programs) has a greater effect in JE than in SE, and (b) a low-justifiability/high-evaluability attribute (e.g., whether the candidate belongs to a discriminated-against minority group) has a greater effect in SE than in JE. While the first proposition has been tested in prior research on evaluability, the second has not. Four experiments, including one in a naturally-occurring setting and another with orthogonal manipulation of evaluability and justifiability, tested and supported these propositions, especially the second.","container-title":"Organizational Behavior and Human Decision Processes","DOI":"10.1016/j.obhdp.2019.04.007","ISSN":"07495978","journalAbbreviation":"Organizational Behavior and Human Decision Processes","language":"en","page":"63-74","source":"DOI.org (Crossref)","title":"Beyond Preference Reversal: Distinguishing Justifiability from Evaluability in Joint Versus Single Evaluations","title-short":"Beyond Preference Reversal","volume":"153","author":[{"family":"Li","given":"Xilin"},{"family":"Hsee","given":"Christopher K."}],"issued":{"date-parts":[["2019",7]]}}}],"schema":"https://github.com/citation-style-language/schema/raw/master/csl-citation.json"} </w:instrText>
      </w:r>
      <w:r w:rsidR="003066AD" w:rsidRPr="00D16B79">
        <w:rPr>
          <w:rFonts w:ascii="Times New Roman" w:eastAsia="Cambria" w:hAnsi="Times New Roman"/>
          <w:lang w:val="en-US" w:eastAsia="en-US"/>
        </w:rPr>
        <w:fldChar w:fldCharType="separate"/>
      </w:r>
      <w:r w:rsidR="003066AD" w:rsidRPr="00D16B79">
        <w:rPr>
          <w:rFonts w:ascii="Times New Roman" w:hAnsi="Times New Roman"/>
          <w:lang w:val="en-US"/>
        </w:rPr>
        <w:t xml:space="preserve">(Hsee 1996; Li and Hsee </w:t>
      </w:r>
      <w:r w:rsidR="003066AD" w:rsidRPr="00D16B79">
        <w:rPr>
          <w:rFonts w:ascii="Times New Roman" w:hAnsi="Times New Roman"/>
          <w:lang w:val="en-US"/>
        </w:rPr>
        <w:lastRenderedPageBreak/>
        <w:t>2019)</w:t>
      </w:r>
      <w:r w:rsidR="003066AD" w:rsidRPr="00D16B79">
        <w:rPr>
          <w:rFonts w:ascii="Times New Roman" w:eastAsia="Cambria" w:hAnsi="Times New Roman"/>
          <w:lang w:val="en-US" w:eastAsia="en-US"/>
        </w:rPr>
        <w:fldChar w:fldCharType="end"/>
      </w:r>
      <w:r w:rsidR="00997BC4" w:rsidRPr="00D16B79">
        <w:rPr>
          <w:rFonts w:ascii="Times New Roman" w:eastAsia="Cambria" w:hAnsi="Times New Roman"/>
          <w:lang w:val="en-US" w:eastAsia="en-US"/>
        </w:rPr>
        <w:t xml:space="preserve">. </w:t>
      </w:r>
      <w:r w:rsidR="00A8724D" w:rsidRPr="00D16B79">
        <w:rPr>
          <w:rFonts w:ascii="Times New Roman" w:eastAsia="Cambria" w:hAnsi="Times New Roman"/>
          <w:lang w:val="en-US" w:eastAsia="en-US"/>
        </w:rPr>
        <w:t>We build on work on the</w:t>
      </w:r>
      <w:r w:rsidR="00477E43" w:rsidRPr="00D16B79">
        <w:rPr>
          <w:rFonts w:ascii="Times New Roman" w:eastAsia="Cambria" w:hAnsi="Times New Roman"/>
          <w:lang w:val="en-US" w:eastAsia="en-US"/>
        </w:rPr>
        <w:t xml:space="preserve"> evaluability </w:t>
      </w:r>
      <w:r w:rsidR="00A8724D" w:rsidRPr="00D16B79">
        <w:rPr>
          <w:rFonts w:ascii="Times New Roman" w:eastAsia="Cambria" w:hAnsi="Times New Roman"/>
          <w:lang w:val="en-US" w:eastAsia="en-US"/>
        </w:rPr>
        <w:t>hypothesis</w:t>
      </w:r>
      <w:r w:rsidR="00477E43" w:rsidRPr="00D16B79">
        <w:rPr>
          <w:rFonts w:ascii="Times New Roman" w:eastAsia="Cambria" w:hAnsi="Times New Roman"/>
          <w:lang w:val="en-US" w:eastAsia="en-US"/>
        </w:rPr>
        <w:t xml:space="preserve"> </w:t>
      </w:r>
      <w:r w:rsidR="00A8724D" w:rsidRPr="00D16B79">
        <w:rPr>
          <w:rFonts w:ascii="Times New Roman" w:eastAsia="Cambria" w:hAnsi="Times New Roman"/>
          <w:lang w:val="en-US" w:eastAsia="en-US"/>
        </w:rPr>
        <w:t xml:space="preserve">used </w:t>
      </w:r>
      <w:r w:rsidR="00477E43" w:rsidRPr="00D16B79">
        <w:rPr>
          <w:rFonts w:ascii="Times New Roman" w:eastAsia="Cambria" w:hAnsi="Times New Roman"/>
          <w:lang w:val="en-US" w:eastAsia="en-US"/>
        </w:rPr>
        <w:t xml:space="preserve">to explain preference shifts between joint and separate evaluation, </w:t>
      </w:r>
      <w:r w:rsidR="00A8724D" w:rsidRPr="00D16B79">
        <w:rPr>
          <w:rFonts w:ascii="Times New Roman" w:eastAsia="Cambria" w:hAnsi="Times New Roman"/>
          <w:lang w:val="en-US" w:eastAsia="en-US"/>
        </w:rPr>
        <w:t>by</w:t>
      </w:r>
      <w:r w:rsidR="00E73EBC" w:rsidRPr="00D16B79">
        <w:rPr>
          <w:rFonts w:ascii="Times New Roman" w:eastAsia="Cambria" w:hAnsi="Times New Roman"/>
          <w:lang w:val="en-US" w:eastAsia="en-US"/>
        </w:rPr>
        <w:t xml:space="preserve"> showing that joint presentation can </w:t>
      </w:r>
      <w:r w:rsidR="00840EC2">
        <w:rPr>
          <w:rFonts w:ascii="Times New Roman" w:eastAsia="Cambria" w:hAnsi="Times New Roman"/>
          <w:lang w:val="en-US" w:eastAsia="en-US"/>
        </w:rPr>
        <w:t>make relative need easier to evaluate</w:t>
      </w:r>
      <w:r w:rsidR="00CB5EDA">
        <w:rPr>
          <w:rFonts w:ascii="Times New Roman" w:eastAsia="Cambria" w:hAnsi="Times New Roman"/>
          <w:lang w:val="en-US" w:eastAsia="en-US"/>
        </w:rPr>
        <w:t xml:space="preserve">. </w:t>
      </w:r>
      <w:r w:rsidR="00A26513" w:rsidRPr="00D16B79">
        <w:rPr>
          <w:rFonts w:ascii="Times New Roman" w:eastAsia="Cambria" w:hAnsi="Times New Roman"/>
          <w:lang w:val="en-US" w:eastAsia="en-US"/>
        </w:rPr>
        <w:t>N</w:t>
      </w:r>
      <w:r w:rsidR="00B55DF8" w:rsidRPr="00D16B79">
        <w:rPr>
          <w:rFonts w:ascii="Times New Roman" w:eastAsia="Cambria" w:hAnsi="Times New Roman"/>
          <w:lang w:val="en-US" w:eastAsia="en-US"/>
        </w:rPr>
        <w:t xml:space="preserve">eed is </w:t>
      </w:r>
      <w:r w:rsidR="002321A7" w:rsidRPr="00D16B79">
        <w:rPr>
          <w:rFonts w:ascii="Times New Roman" w:eastAsia="Cambria" w:hAnsi="Times New Roman"/>
          <w:lang w:val="en-US" w:eastAsia="en-US"/>
        </w:rPr>
        <w:t>one of the most</w:t>
      </w:r>
      <w:r w:rsidR="00B55DF8" w:rsidRPr="00D16B79">
        <w:rPr>
          <w:rFonts w:ascii="Times New Roman" w:eastAsia="Cambria" w:hAnsi="Times New Roman"/>
          <w:lang w:val="en-US" w:eastAsia="en-US"/>
        </w:rPr>
        <w:t xml:space="preserve"> important criteria in donation decisions, </w:t>
      </w:r>
      <w:r w:rsidR="00A26513" w:rsidRPr="00D16B79">
        <w:rPr>
          <w:rFonts w:ascii="Times New Roman" w:eastAsia="Cambria" w:hAnsi="Times New Roman"/>
          <w:lang w:val="en-US" w:eastAsia="en-US"/>
        </w:rPr>
        <w:t xml:space="preserve">yet </w:t>
      </w:r>
      <w:r w:rsidR="00A8724D" w:rsidRPr="00D16B79">
        <w:rPr>
          <w:rFonts w:ascii="Times New Roman" w:eastAsia="Cambria" w:hAnsi="Times New Roman"/>
          <w:lang w:val="en-US" w:eastAsia="en-US"/>
        </w:rPr>
        <w:t xml:space="preserve">consumers may not be able to accurately evaluate </w:t>
      </w:r>
      <w:r w:rsidR="00B55DF8" w:rsidRPr="00D16B79">
        <w:rPr>
          <w:rFonts w:ascii="Times New Roman" w:eastAsia="Cambria" w:hAnsi="Times New Roman"/>
          <w:lang w:val="en-US" w:eastAsia="en-US"/>
        </w:rPr>
        <w:t>need in separate evaluation.</w:t>
      </w:r>
      <w:r w:rsidR="00E73EBC" w:rsidRPr="00D16B79">
        <w:rPr>
          <w:rFonts w:ascii="Times New Roman" w:eastAsia="Cambria" w:hAnsi="Times New Roman"/>
          <w:lang w:val="en-US" w:eastAsia="en-US"/>
        </w:rPr>
        <w:t xml:space="preserve"> </w:t>
      </w:r>
      <w:r w:rsidR="008D0EED" w:rsidRPr="00D16B79">
        <w:rPr>
          <w:rFonts w:ascii="Times New Roman" w:eastAsia="Cambria" w:hAnsi="Times New Roman"/>
          <w:lang w:val="en-US" w:eastAsia="en-US"/>
        </w:rPr>
        <w:t>Thus, when consumers consider giving to a focal charity (in separate evaluation), they may not realize the opportunity cost</w:t>
      </w:r>
      <w:r w:rsidR="004F28D0" w:rsidRPr="00D16B79">
        <w:rPr>
          <w:rFonts w:ascii="Times New Roman" w:eastAsia="Cambria" w:hAnsi="Times New Roman"/>
          <w:lang w:val="en-US" w:eastAsia="en-US"/>
        </w:rPr>
        <w:t>—</w:t>
      </w:r>
      <w:r w:rsidR="008D0EED" w:rsidRPr="00D16B79">
        <w:rPr>
          <w:rFonts w:ascii="Times New Roman" w:eastAsia="Cambria" w:hAnsi="Times New Roman"/>
          <w:lang w:val="en-US" w:eastAsia="en-US"/>
        </w:rPr>
        <w:t xml:space="preserve">that there is </w:t>
      </w:r>
      <w:r w:rsidR="00DB22A4" w:rsidRPr="00D16B79">
        <w:rPr>
          <w:rFonts w:ascii="Times New Roman" w:eastAsia="Cambria" w:hAnsi="Times New Roman"/>
          <w:lang w:val="en-US" w:eastAsia="en-US"/>
        </w:rPr>
        <w:t>likely a</w:t>
      </w:r>
      <w:r w:rsidR="008D0EED" w:rsidRPr="00D16B79">
        <w:rPr>
          <w:rFonts w:ascii="Times New Roman" w:eastAsia="Cambria" w:hAnsi="Times New Roman"/>
          <w:lang w:val="en-US" w:eastAsia="en-US"/>
        </w:rPr>
        <w:t xml:space="preserve">nother, needier charity to which they could donate. </w:t>
      </w:r>
      <w:r w:rsidR="00A61B5E" w:rsidRPr="00D16B79">
        <w:rPr>
          <w:rFonts w:ascii="Times New Roman" w:eastAsia="Cambria" w:hAnsi="Times New Roman"/>
          <w:lang w:val="en-US" w:eastAsia="en-US"/>
        </w:rPr>
        <w:t>J</w:t>
      </w:r>
      <w:r w:rsidR="00B55DF8" w:rsidRPr="00D16B79">
        <w:rPr>
          <w:rFonts w:ascii="Times New Roman" w:eastAsia="Cambria" w:hAnsi="Times New Roman"/>
          <w:lang w:val="en-US" w:eastAsia="en-US"/>
        </w:rPr>
        <w:t>oint evaluation make</w:t>
      </w:r>
      <w:r w:rsidR="000B437D" w:rsidRPr="00D16B79">
        <w:rPr>
          <w:rFonts w:ascii="Times New Roman" w:eastAsia="Cambria" w:hAnsi="Times New Roman"/>
          <w:lang w:val="en-US" w:eastAsia="en-US"/>
        </w:rPr>
        <w:t>s</w:t>
      </w:r>
      <w:r w:rsidR="00B55DF8" w:rsidRPr="00D16B79">
        <w:rPr>
          <w:rFonts w:ascii="Times New Roman" w:eastAsia="Cambria" w:hAnsi="Times New Roman"/>
          <w:lang w:val="en-US" w:eastAsia="en-US"/>
        </w:rPr>
        <w:t xml:space="preserve"> this </w:t>
      </w:r>
      <w:r w:rsidR="003C44E6" w:rsidRPr="00D16B79">
        <w:rPr>
          <w:rFonts w:ascii="Times New Roman" w:eastAsia="Cambria" w:hAnsi="Times New Roman"/>
          <w:lang w:val="en-US" w:eastAsia="en-US"/>
        </w:rPr>
        <w:t>salient</w:t>
      </w:r>
      <w:r w:rsidR="00A8724D" w:rsidRPr="00D16B79">
        <w:rPr>
          <w:rFonts w:ascii="Times New Roman" w:eastAsia="Cambria" w:hAnsi="Times New Roman"/>
          <w:lang w:val="en-US" w:eastAsia="en-US"/>
        </w:rPr>
        <w:t xml:space="preserve"> </w:t>
      </w:r>
      <w:r w:rsidR="00365319" w:rsidRPr="00D16B79">
        <w:rPr>
          <w:rFonts w:ascii="Times New Roman" w:eastAsia="Cambria" w:hAnsi="Times New Roman"/>
          <w:lang w:val="en-US" w:eastAsia="en-US"/>
        </w:rPr>
        <w:t xml:space="preserve">and </w:t>
      </w:r>
      <w:r w:rsidR="00A8724D" w:rsidRPr="00D16B79">
        <w:rPr>
          <w:rFonts w:ascii="Times New Roman" w:eastAsia="Cambria" w:hAnsi="Times New Roman"/>
          <w:lang w:val="en-US" w:eastAsia="en-US"/>
        </w:rPr>
        <w:t>increas</w:t>
      </w:r>
      <w:r w:rsidR="00365319" w:rsidRPr="00D16B79">
        <w:rPr>
          <w:rFonts w:ascii="Times New Roman" w:eastAsia="Cambria" w:hAnsi="Times New Roman"/>
          <w:lang w:val="en-US" w:eastAsia="en-US"/>
        </w:rPr>
        <w:t>es</w:t>
      </w:r>
      <w:r w:rsidR="00A8724D" w:rsidRPr="00D16B79">
        <w:rPr>
          <w:rFonts w:ascii="Times New Roman" w:eastAsia="Cambria" w:hAnsi="Times New Roman"/>
          <w:lang w:val="en-US" w:eastAsia="en-US"/>
        </w:rPr>
        <w:t xml:space="preserve"> the gap in perceptions of need between charities closer to v</w:t>
      </w:r>
      <w:r w:rsidR="004F28D0" w:rsidRPr="00D16B79">
        <w:rPr>
          <w:rFonts w:ascii="Times New Roman" w:eastAsia="Cambria" w:hAnsi="Times New Roman"/>
          <w:lang w:val="en-US" w:eastAsia="en-US"/>
        </w:rPr>
        <w:t>ersus</w:t>
      </w:r>
      <w:r w:rsidR="00A8724D" w:rsidRPr="00D16B79">
        <w:rPr>
          <w:rFonts w:ascii="Times New Roman" w:eastAsia="Cambria" w:hAnsi="Times New Roman"/>
          <w:lang w:val="en-US" w:eastAsia="en-US"/>
        </w:rPr>
        <w:t xml:space="preserve"> farther from their</w:t>
      </w:r>
      <w:r w:rsidR="004F28D0" w:rsidRPr="00D16B79">
        <w:rPr>
          <w:rFonts w:ascii="Times New Roman" w:eastAsia="Cambria" w:hAnsi="Times New Roman"/>
          <w:lang w:val="en-US" w:eastAsia="en-US"/>
        </w:rPr>
        <w:t xml:space="preserve"> goal</w:t>
      </w:r>
      <w:r w:rsidR="00365319" w:rsidRPr="00D16B79">
        <w:rPr>
          <w:rFonts w:ascii="Times New Roman" w:eastAsia="Cambria" w:hAnsi="Times New Roman"/>
          <w:lang w:val="en-US" w:eastAsia="en-US"/>
        </w:rPr>
        <w:t xml:space="preserve">, thereby </w:t>
      </w:r>
      <w:r w:rsidR="0064557C" w:rsidRPr="00D16B79">
        <w:rPr>
          <w:rFonts w:ascii="Times New Roman" w:eastAsia="Cambria" w:hAnsi="Times New Roman"/>
          <w:lang w:val="en-US" w:eastAsia="en-US"/>
        </w:rPr>
        <w:t>shifting</w:t>
      </w:r>
      <w:r w:rsidR="003C44E6" w:rsidRPr="00D16B79">
        <w:rPr>
          <w:rFonts w:ascii="Times New Roman" w:eastAsia="Cambria" w:hAnsi="Times New Roman"/>
          <w:lang w:val="en-US" w:eastAsia="en-US"/>
        </w:rPr>
        <w:t xml:space="preserve"> donations towards charities with </w:t>
      </w:r>
      <w:r w:rsidR="002E20D9" w:rsidRPr="00D16B79">
        <w:rPr>
          <w:rFonts w:ascii="Times New Roman" w:eastAsia="Cambria" w:hAnsi="Times New Roman"/>
          <w:lang w:val="en-US" w:eastAsia="en-US"/>
        </w:rPr>
        <w:t xml:space="preserve">relatively </w:t>
      </w:r>
      <w:r w:rsidR="003C44E6" w:rsidRPr="00D16B79">
        <w:rPr>
          <w:rFonts w:ascii="Times New Roman" w:eastAsia="Cambria" w:hAnsi="Times New Roman"/>
          <w:lang w:val="en-US" w:eastAsia="en-US"/>
        </w:rPr>
        <w:t>lower levels of goal progress</w:t>
      </w:r>
      <w:r w:rsidR="00512405" w:rsidRPr="00D16B79">
        <w:rPr>
          <w:rFonts w:ascii="Times New Roman" w:eastAsia="Cambria" w:hAnsi="Times New Roman"/>
          <w:lang w:val="en-US" w:eastAsia="en-US"/>
        </w:rPr>
        <w:t xml:space="preserve"> (and thus higher levels of need</w:t>
      </w:r>
      <w:r w:rsidR="00CB5EDA">
        <w:rPr>
          <w:rFonts w:ascii="Times New Roman" w:eastAsia="Cambria" w:hAnsi="Times New Roman"/>
          <w:lang w:val="en-US" w:eastAsia="en-US"/>
        </w:rPr>
        <w:t xml:space="preserve"> for help</w:t>
      </w:r>
      <w:r w:rsidR="00512405" w:rsidRPr="00D16B79">
        <w:rPr>
          <w:rFonts w:ascii="Times New Roman" w:eastAsia="Cambria" w:hAnsi="Times New Roman"/>
          <w:lang w:val="en-US" w:eastAsia="en-US"/>
        </w:rPr>
        <w:t>)</w:t>
      </w:r>
      <w:r w:rsidR="00A079E5" w:rsidRPr="00D16B79">
        <w:rPr>
          <w:rFonts w:ascii="Times New Roman" w:eastAsia="Cambria" w:hAnsi="Times New Roman"/>
          <w:lang w:val="en-US" w:eastAsia="en-US"/>
        </w:rPr>
        <w:t xml:space="preserve">. </w:t>
      </w:r>
    </w:p>
    <w:p w14:paraId="51C0BEAA" w14:textId="2EF575F7" w:rsidR="00E40AB4" w:rsidRPr="00D16B79" w:rsidRDefault="00A2726A" w:rsidP="008D1A9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Fourth</w:t>
      </w:r>
      <w:r w:rsidR="00C170C4" w:rsidRPr="00D16B79">
        <w:rPr>
          <w:rFonts w:ascii="Times New Roman" w:eastAsia="Cambria" w:hAnsi="Times New Roman"/>
          <w:lang w:val="en-US" w:eastAsia="en-US"/>
        </w:rPr>
        <w:t>, this research contributes to the social</w:t>
      </w:r>
      <w:r w:rsidR="00F01C64" w:rsidRPr="00D16B79">
        <w:rPr>
          <w:rFonts w:ascii="Times New Roman" w:eastAsia="Cambria" w:hAnsi="Times New Roman"/>
          <w:lang w:val="en-US" w:eastAsia="en-US"/>
        </w:rPr>
        <w:t>-</w:t>
      </w:r>
      <w:r w:rsidR="00C170C4" w:rsidRPr="00D16B79">
        <w:rPr>
          <w:rFonts w:ascii="Times New Roman" w:eastAsia="Cambria" w:hAnsi="Times New Roman"/>
          <w:lang w:val="en-US" w:eastAsia="en-US"/>
        </w:rPr>
        <w:t>influence literature by</w:t>
      </w:r>
      <w:r w:rsidRPr="00D16B79">
        <w:rPr>
          <w:rFonts w:ascii="Times New Roman" w:eastAsia="Cambria" w:hAnsi="Times New Roman"/>
          <w:lang w:val="en-US" w:eastAsia="en-US"/>
        </w:rPr>
        <w:t xml:space="preserve"> </w:t>
      </w:r>
      <w:r w:rsidR="006D5211" w:rsidRPr="00D16B79">
        <w:rPr>
          <w:rFonts w:ascii="Times New Roman" w:eastAsia="Cambria" w:hAnsi="Times New Roman"/>
          <w:lang w:val="en-US" w:eastAsia="en-US"/>
        </w:rPr>
        <w:t xml:space="preserve">illustrating </w:t>
      </w:r>
      <w:r w:rsidRPr="00D16B79">
        <w:rPr>
          <w:rFonts w:ascii="Times New Roman" w:eastAsia="Cambria" w:hAnsi="Times New Roman"/>
          <w:lang w:val="en-US" w:eastAsia="en-US"/>
        </w:rPr>
        <w:t xml:space="preserve">a context in which consumers support </w:t>
      </w:r>
      <w:r w:rsidR="005B1EC8" w:rsidRPr="00D16B79">
        <w:rPr>
          <w:rFonts w:ascii="Times New Roman" w:eastAsia="Cambria" w:hAnsi="Times New Roman"/>
          <w:lang w:val="en-US" w:eastAsia="en-US"/>
        </w:rPr>
        <w:t>a</w:t>
      </w:r>
      <w:r w:rsidRPr="00D16B79">
        <w:rPr>
          <w:rFonts w:ascii="Times New Roman" w:eastAsia="Cambria" w:hAnsi="Times New Roman"/>
          <w:lang w:val="en-US" w:eastAsia="en-US"/>
        </w:rPr>
        <w:t xml:space="preserve"> </w:t>
      </w:r>
      <w:r w:rsidRPr="00D16B79">
        <w:rPr>
          <w:rFonts w:ascii="Times New Roman" w:eastAsia="Cambria" w:hAnsi="Times New Roman"/>
          <w:i/>
          <w:iCs/>
          <w:lang w:val="en-US" w:eastAsia="en-US"/>
        </w:rPr>
        <w:t>less</w:t>
      </w:r>
      <w:r w:rsidRPr="00D16B79">
        <w:rPr>
          <w:rFonts w:ascii="Times New Roman" w:eastAsia="Cambria" w:hAnsi="Times New Roman"/>
          <w:lang w:val="en-US" w:eastAsia="en-US"/>
        </w:rPr>
        <w:t xml:space="preserve"> popular option.</w:t>
      </w:r>
      <w:r w:rsidR="00C170C4" w:rsidRPr="00D16B79">
        <w:rPr>
          <w:rFonts w:ascii="Times New Roman" w:eastAsia="Cambria" w:hAnsi="Times New Roman"/>
          <w:lang w:val="en-US" w:eastAsia="en-US"/>
        </w:rPr>
        <w:t xml:space="preserve"> Previous work show</w:t>
      </w:r>
      <w:r w:rsidR="006D5211" w:rsidRPr="00D16B79">
        <w:rPr>
          <w:rFonts w:ascii="Times New Roman" w:eastAsia="Cambria" w:hAnsi="Times New Roman"/>
          <w:lang w:val="en-US" w:eastAsia="en-US"/>
        </w:rPr>
        <w:t>s</w:t>
      </w:r>
      <w:r w:rsidR="00C170C4" w:rsidRPr="00D16B79">
        <w:rPr>
          <w:rFonts w:ascii="Times New Roman" w:eastAsia="Cambria" w:hAnsi="Times New Roman"/>
          <w:lang w:val="en-US" w:eastAsia="en-US"/>
        </w:rPr>
        <w:t xml:space="preserve"> that </w:t>
      </w:r>
      <w:r w:rsidR="005B1EC8" w:rsidRPr="00D16B79">
        <w:rPr>
          <w:rFonts w:ascii="Times New Roman" w:eastAsia="Cambria" w:hAnsi="Times New Roman"/>
          <w:lang w:val="en-US" w:eastAsia="en-US"/>
        </w:rPr>
        <w:t xml:space="preserve">people </w:t>
      </w:r>
      <w:r w:rsidR="0024548C" w:rsidRPr="00D16B79">
        <w:rPr>
          <w:rFonts w:ascii="Times New Roman" w:eastAsia="Cambria" w:hAnsi="Times New Roman"/>
          <w:lang w:val="en-US" w:eastAsia="en-US"/>
        </w:rPr>
        <w:t xml:space="preserve">tend to </w:t>
      </w:r>
      <w:r w:rsidR="005B1EC8" w:rsidRPr="00D16B79">
        <w:rPr>
          <w:rFonts w:ascii="Times New Roman" w:eastAsia="Cambria" w:hAnsi="Times New Roman"/>
          <w:lang w:val="en-US" w:eastAsia="en-US"/>
        </w:rPr>
        <w:t xml:space="preserve">follow </w:t>
      </w:r>
      <w:r w:rsidR="0024548C" w:rsidRPr="00D16B79">
        <w:rPr>
          <w:rFonts w:ascii="Times New Roman" w:eastAsia="Cambria" w:hAnsi="Times New Roman"/>
          <w:lang w:val="en-US" w:eastAsia="en-US"/>
        </w:rPr>
        <w:t xml:space="preserve">the actions of </w:t>
      </w:r>
      <w:r w:rsidR="005B1EC8" w:rsidRPr="00D16B79">
        <w:rPr>
          <w:rFonts w:ascii="Times New Roman" w:eastAsia="Cambria" w:hAnsi="Times New Roman"/>
          <w:lang w:val="en-US" w:eastAsia="en-US"/>
        </w:rPr>
        <w:t xml:space="preserve">others and that </w:t>
      </w:r>
      <w:r w:rsidR="00C170C4" w:rsidRPr="00D16B79">
        <w:rPr>
          <w:rFonts w:ascii="Times New Roman" w:eastAsia="Cambria" w:hAnsi="Times New Roman"/>
          <w:lang w:val="en-US" w:eastAsia="en-US"/>
        </w:rPr>
        <w:t xml:space="preserve">communicating low norms can inadvertently discourage positive behaviors </w:t>
      </w:r>
      <w:r w:rsidR="00C170C4"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{"citationID":"akZN5PP3","properties":{"formattedCitation":"(Cialdini and Trost 1998; Habib, White, and Hoegg 2021; Schultz et al. 2007)","plainCitation":"(Cialdini and Trost 1998; Habib, White, and Hoegg 2021; Schultz et al. 2007)","noteIndex":0},"citationItems":[{"id":1245,"uris":["http://zotero.org/users/4606674/items/8QYA8I5N"],"itemData":{"id":1245,"type":"chapter","container-title":"The Handbook of Social Psychology","event-place":"New York","page":"151-192","publisher":"McGraw-Hill","publisher-place":"New York","source":"Google Scholar","title":"Social Influence: Social Norms, Conformity and Compliance.","title-short":"Social Influence","author":[{"family":"Cialdini","given":"Robert B."},{"family":"Trost","given":"Melanie R."}],"issued":{"date-parts":[["1998"]]}}},{"id":2344,"uris":["http://zotero.org/users/4606674/items/TKRN68XG"],"itemData":{"id":2344,"type":"article-journal","abstract":"The potential for deceased-donor organ transplants to save lives is severely limited by the number of people registered as donors around the world. Various national and regional health organizations often emphasize low registration rates (i.e., low descriptive norms) in an effort to demonstrate need and encourage registration. However, we predict and find that combining low descriptive norms with high injunctive norms, making salient the discrepancy between what people think they should do and what they actually do, results in greater organ donor registrations than communicating either descriptive or injunctive norms separately. We demonstrate these effects across three focal studies and two follow-up studies conducted online, in the laboratory, and in the field, and show that the findings are mediated by feelings of responsibility. We also demonstrate that making the situation feel psychologically close increases responsibility and intentions to register for low descriptive and high injunctive norms, to the level of combined norms. Our research contributes to the literature on norms and responsibility and can help policymakers and marketers design more effective communication strategies.","container-title":"Journal of Consumer Psychology","DOI":"10.1002/jcpy.1220","ISSN":"1532-7663","issue":"3","language":"en","license":"© 2021 Society for Consumer Psychology","note":"_eprint: https://onlinelibrary.wiley.com/doi/pdf/10.1002/jcpy.1220","page":"621-630","source":"Wiley Online Library","title":"Everybody Thinks We Should but Nobody Does: How Combined Injunctive and Descriptive Norms Motivate Organ Donor Registration","title-short":"Everybody Thinks We Should but Nobody Does","volume":"31","author":[{"family":"Habib","given":"Rishad"},{"family":"White","given":"Katherine"},{"family":"Hoegg","given":"JoAndrea"}],"issued":{"date-parts":[["2021"]]}}},{"id":2729,"uris":["http://zotero.org/users/4606674/items/5C3AP6DV"],"itemData":{"id":2729,"type":"article-journal","abstract":"Despite a long tradition of effectiveness in laboratory tests, normative messages have had mixed success in changing behavior in field contexts, with some studies showing boomerang effects. To test a theoretical account of this inconsistency, we conducted a field experiment in which normative messages were used to promote household energy conservation. As predicted, a descriptive normative message detailing average neighborhood usage produced either desirable energy savings or the undesirable boomerang effect, depending on whether households were already consuming at a low or high rate. Also as predicted, adding an injunctive message (conveying social approval or disapproval) eliminated the boomerang effect. The results offer an explanation for the mixed success of persuasive appeals based on social norms and suggest how such appeals should be properly crafted.","container-title":"Psychological Science","DOI":"10.1111/j.1467-9280.2007.01917.x","ISSN":"0956-7976","issue":"5","journalAbbreviation":"Psychol Sci","language":"en","page":"429-434","source":"SAGE Journals","title":"The Constructive, Destructive, and Reconstructive Power of Social Norms","volume":"18","author":[{"family":"Schultz","given":"P. Wesley"},{"family":"Nolan","given":"Jessica M."},{"family":"Cialdini","given":"Robert B."},{"family":"Goldstein","given":"Noah J."},{"family":"Griskevicius","given":"Vladas"}],"issued":{"date-parts":[["2007",5,1]]}}}],"schema":"https://github.com/citation-style-language/schema/raw/master/csl-citation.json"} </w:instrText>
      </w:r>
      <w:r w:rsidR="00C170C4" w:rsidRPr="00D16B79">
        <w:rPr>
          <w:rFonts w:ascii="Times New Roman" w:eastAsia="Cambria" w:hAnsi="Times New Roman"/>
          <w:lang w:val="en-US" w:eastAsia="en-US"/>
        </w:rPr>
        <w:fldChar w:fldCharType="separate"/>
      </w:r>
      <w:r w:rsidR="00FA5441" w:rsidRPr="00D16B79">
        <w:rPr>
          <w:rFonts w:ascii="Times New Roman" w:hAnsi="Times New Roman"/>
          <w:lang w:val="en-US"/>
        </w:rPr>
        <w:t>(Cialdini and Trost 1998; Habib, White, and Hoegg 2021; Schultz et al. 2007)</w:t>
      </w:r>
      <w:r w:rsidR="00C170C4" w:rsidRPr="00D16B79">
        <w:rPr>
          <w:rFonts w:ascii="Times New Roman" w:eastAsia="Cambria" w:hAnsi="Times New Roman"/>
          <w:lang w:val="en-US" w:eastAsia="en-US"/>
        </w:rPr>
        <w:fldChar w:fldCharType="end"/>
      </w:r>
      <w:r w:rsidR="00C170C4" w:rsidRPr="00D16B79">
        <w:rPr>
          <w:rFonts w:ascii="Times New Roman" w:eastAsia="Cambria" w:hAnsi="Times New Roman"/>
          <w:lang w:val="en-US" w:eastAsia="en-US"/>
        </w:rPr>
        <w:t xml:space="preserve">. In contrast, we show that comparative evaluation of charitable organizations can overcome the hesitancy </w:t>
      </w:r>
      <w:r w:rsidR="00A26513" w:rsidRPr="00D16B79">
        <w:rPr>
          <w:rFonts w:ascii="Times New Roman" w:eastAsia="Cambria" w:hAnsi="Times New Roman"/>
          <w:lang w:val="en-US" w:eastAsia="en-US"/>
        </w:rPr>
        <w:t xml:space="preserve">that </w:t>
      </w:r>
      <w:r w:rsidR="00C170C4" w:rsidRPr="00D16B79">
        <w:rPr>
          <w:rFonts w:ascii="Times New Roman" w:eastAsia="Cambria" w:hAnsi="Times New Roman"/>
          <w:lang w:val="en-US" w:eastAsia="en-US"/>
        </w:rPr>
        <w:t>people often feel when asked to give to projects that lack social proof. In doing so</w:t>
      </w:r>
      <w:r w:rsidR="004D07CA" w:rsidRPr="00D16B79">
        <w:rPr>
          <w:rFonts w:ascii="Times New Roman" w:eastAsia="Cambria" w:hAnsi="Times New Roman"/>
          <w:lang w:val="en-US" w:eastAsia="en-US"/>
        </w:rPr>
        <w:t>,</w:t>
      </w:r>
      <w:r w:rsidR="00C170C4" w:rsidRPr="00D16B79">
        <w:rPr>
          <w:rFonts w:ascii="Times New Roman" w:eastAsia="Cambria" w:hAnsi="Times New Roman"/>
          <w:lang w:val="en-US" w:eastAsia="en-US"/>
        </w:rPr>
        <w:t xml:space="preserve"> our research adds to the growing work in this area that addresses both theoretical and substantive challenges </w:t>
      </w:r>
      <w:r w:rsidR="00423931" w:rsidRPr="00D16B79">
        <w:rPr>
          <w:rFonts w:ascii="Times New Roman" w:eastAsia="Cambria" w:hAnsi="Times New Roman"/>
          <w:lang w:val="en-US" w:eastAsia="en-US"/>
        </w:rPr>
        <w:t>of</w:t>
      </w:r>
      <w:r w:rsidR="00C170C4" w:rsidRPr="00D16B79">
        <w:rPr>
          <w:rFonts w:ascii="Times New Roman" w:eastAsia="Cambria" w:hAnsi="Times New Roman"/>
          <w:lang w:val="en-US" w:eastAsia="en-US"/>
        </w:rPr>
        <w:t xml:space="preserve"> promoting positive yet uncommon behaviors</w:t>
      </w:r>
      <w:r w:rsidR="00E173F3" w:rsidRPr="00D16B79">
        <w:rPr>
          <w:rFonts w:ascii="Times New Roman" w:eastAsia="Cambria" w:hAnsi="Times New Roman"/>
          <w:lang w:val="en-US" w:eastAsia="en-US"/>
        </w:rPr>
        <w:t xml:space="preserve"> </w:t>
      </w:r>
      <w:r w:rsidR="00E173F3"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{"citationID":"erQ1Jmeg","properties":{"formattedCitation":"(Sparkman and Walton 2017)","plainCitation":"(Sparkman and Walton 2017)","noteIndex":0},"citationItems":[{"id":2727,"uris":["http://zotero.org/users/4606674/items/WSR33LX9"],"itemData":{"id":2727,"type":"article-journal","abstract":"It is well known that people conform to normative information about other people’s current attitudes and behaviors. Do they also conform to dynamic norms—information about how other people’s behavior is changing over time? We investigated this question in three online and two field experiments. Experiments 1 through 4 examined high levels of meat consumption, a normative and salient behavior that is decreasing in the United States. Dynamic norms motivated change despite prevailing static norms, increasing interest in eating less meat (Experiments 1–3) and doubling meatless orders at a café (Experiment 4). Mediators included the anticipation of less meat eating in the future (preconformity) and the inference that reducing meat consumption mattered to other people (Experiments 2 and 3). In Experiment 5, we took advantage of a natural comparison to provide evidence that dynamic norms can also strengthen social-norm interventions when the static norm is positive; a positive dynamic norm resulted in reduced laundry loads and water use over 3 weeks during a drought.","container-title":"Psychological Science","DOI":"10.1177/0956797617719950","ISSN":"0956-7976","issue":"11","journalAbbreviation":"Psychol Sci","language":"en","page":"1663-1674","source":"SAGE Journals","title":"Dynamic Norms Promote Sustainable Behavior, Even If It Is Counternormative","volume":"28","author":[{"family":"Sparkman","given":"Gregg"},{"family":"Walton","given":"Gregory M."}],"issued":{"date-parts":[["2017",11,1]]}},"label":"page"}],"schema":"https://github.com/citation-style-language/schema/raw/master/csl-citation.json"} </w:instrText>
      </w:r>
      <w:r w:rsidR="00E173F3" w:rsidRPr="00D16B79">
        <w:rPr>
          <w:rFonts w:ascii="Times New Roman" w:eastAsia="Cambria" w:hAnsi="Times New Roman"/>
          <w:lang w:val="en-US" w:eastAsia="en-US"/>
        </w:rPr>
        <w:fldChar w:fldCharType="separate"/>
      </w:r>
      <w:r w:rsidR="00181321" w:rsidRPr="00181321">
        <w:rPr>
          <w:rFonts w:ascii="Times New Roman" w:hAnsi="Times New Roman"/>
        </w:rPr>
        <w:t>(Sparkman and Walton 2017)</w:t>
      </w:r>
      <w:r w:rsidR="00E173F3" w:rsidRPr="00D16B79">
        <w:rPr>
          <w:rFonts w:ascii="Times New Roman" w:eastAsia="Cambria" w:hAnsi="Times New Roman"/>
          <w:lang w:val="en-US" w:eastAsia="en-US"/>
        </w:rPr>
        <w:fldChar w:fldCharType="end"/>
      </w:r>
      <w:r w:rsidR="00E173F3" w:rsidRPr="00D16B79">
        <w:rPr>
          <w:rFonts w:ascii="Times New Roman" w:eastAsia="Cambria" w:hAnsi="Times New Roman"/>
          <w:lang w:val="en-US" w:eastAsia="en-US"/>
        </w:rPr>
        <w:t>.</w:t>
      </w:r>
    </w:p>
    <w:p w14:paraId="0A67A5D5" w14:textId="1A444CF7" w:rsidR="005010B0" w:rsidRPr="00D16B79" w:rsidRDefault="005010B0" w:rsidP="008E0178">
      <w:pPr>
        <w:pStyle w:val="Heading2"/>
      </w:pPr>
      <w:r w:rsidRPr="00D16B79">
        <w:t>Directions</w:t>
      </w:r>
      <w:r w:rsidR="004D2597" w:rsidRPr="00D16B79">
        <w:t xml:space="preserve"> for </w:t>
      </w:r>
      <w:r w:rsidR="00497991" w:rsidRPr="00D16B79">
        <w:t xml:space="preserve">Future </w:t>
      </w:r>
      <w:r w:rsidR="004D2597" w:rsidRPr="00D16B79">
        <w:t>Research</w:t>
      </w:r>
    </w:p>
    <w:p w14:paraId="5F67DD1B" w14:textId="5CA9AA79" w:rsidR="00DD0E42" w:rsidRPr="00D16B79" w:rsidRDefault="00D34E49" w:rsidP="000D5C2A">
      <w:pPr>
        <w:spacing w:line="480" w:lineRule="auto"/>
        <w:ind w:firstLine="720"/>
        <w:rPr>
          <w:lang w:val="en-US"/>
        </w:rPr>
      </w:pPr>
      <w:r w:rsidRPr="00D16B79">
        <w:rPr>
          <w:lang w:val="en-US"/>
        </w:rPr>
        <w:t xml:space="preserve">There are a number of opportunities for future research </w:t>
      </w:r>
      <w:r w:rsidR="00423931" w:rsidRPr="00D16B79">
        <w:rPr>
          <w:lang w:val="en-US"/>
        </w:rPr>
        <w:t>to</w:t>
      </w:r>
      <w:r w:rsidRPr="00D16B79">
        <w:rPr>
          <w:lang w:val="en-US"/>
        </w:rPr>
        <w:t xml:space="preserve"> extend </w:t>
      </w:r>
      <w:r w:rsidR="004014E3" w:rsidRPr="00D16B79">
        <w:rPr>
          <w:lang w:val="en-US"/>
        </w:rPr>
        <w:t>this</w:t>
      </w:r>
      <w:r w:rsidRPr="00D16B79">
        <w:rPr>
          <w:lang w:val="en-US"/>
        </w:rPr>
        <w:t xml:space="preserve"> work. </w:t>
      </w:r>
      <w:r w:rsidR="00497991" w:rsidRPr="00D16B79">
        <w:rPr>
          <w:rFonts w:ascii="Times New Roman" w:eastAsia="Cambria" w:hAnsi="Times New Roman"/>
          <w:lang w:val="en-US" w:eastAsia="en-US"/>
        </w:rPr>
        <w:t>T</w:t>
      </w:r>
      <w:r w:rsidR="007909A7" w:rsidRPr="00D16B79">
        <w:rPr>
          <w:rFonts w:ascii="Times New Roman" w:eastAsia="Cambria" w:hAnsi="Times New Roman"/>
          <w:lang w:val="en-US" w:eastAsia="en-US"/>
        </w:rPr>
        <w:t xml:space="preserve">he current work demonstrates that donations to charity were not driven by perceived impact in joint evaluation, </w:t>
      </w:r>
      <w:r w:rsidR="00497991" w:rsidRPr="00D16B79">
        <w:rPr>
          <w:rFonts w:ascii="Times New Roman" w:eastAsia="Cambria" w:hAnsi="Times New Roman"/>
          <w:lang w:val="en-US" w:eastAsia="en-US"/>
        </w:rPr>
        <w:t xml:space="preserve">but </w:t>
      </w:r>
      <w:r w:rsidR="007909A7" w:rsidRPr="00D16B79">
        <w:rPr>
          <w:rFonts w:ascii="Times New Roman" w:eastAsia="Cambria" w:hAnsi="Times New Roman"/>
          <w:lang w:val="en-US" w:eastAsia="en-US"/>
        </w:rPr>
        <w:t xml:space="preserve">there may be situations in which concerns about making an impact play a more pivotal role in decision making. Future research can investigate the effect of other information that consumers often have access to on perceptions of donation impact and how this affects </w:t>
      </w:r>
      <w:r w:rsidR="007909A7" w:rsidRPr="00D16B79">
        <w:rPr>
          <w:rFonts w:ascii="Times New Roman" w:eastAsia="Cambria" w:hAnsi="Times New Roman"/>
          <w:lang w:val="en-US" w:eastAsia="en-US"/>
        </w:rPr>
        <w:lastRenderedPageBreak/>
        <w:t>decision making in comparative evaluations. For instance, ratings of charities and projects, such as on givewell.org or Charity Navigator</w:t>
      </w:r>
      <w:r w:rsidR="00497991" w:rsidRPr="00D16B79">
        <w:rPr>
          <w:rFonts w:ascii="Times New Roman" w:eastAsia="Cambria" w:hAnsi="Times New Roman"/>
          <w:lang w:val="en-US" w:eastAsia="en-US"/>
        </w:rPr>
        <w:t>,</w:t>
      </w:r>
      <w:r w:rsidR="007909A7" w:rsidRPr="00D16B79">
        <w:rPr>
          <w:rFonts w:ascii="Times New Roman" w:eastAsia="Cambria" w:hAnsi="Times New Roman"/>
          <w:lang w:val="en-US" w:eastAsia="en-US"/>
        </w:rPr>
        <w:t xml:space="preserve"> may play a role in decisions, particularly when two organizations have different levels of goal progress.</w:t>
      </w:r>
      <w:r w:rsidR="003E1D14" w:rsidRPr="00D16B79">
        <w:rPr>
          <w:rFonts w:ascii="Times New Roman" w:eastAsia="Cambria" w:hAnsi="Times New Roman"/>
          <w:lang w:val="en-US" w:eastAsia="en-US"/>
        </w:rPr>
        <w:t xml:space="preserve"> One possibility is that such </w:t>
      </w:r>
      <w:r w:rsidR="00113BBC" w:rsidRPr="00D16B79">
        <w:rPr>
          <w:rFonts w:ascii="Times New Roman" w:eastAsia="Cambria" w:hAnsi="Times New Roman"/>
          <w:lang w:val="en-US" w:eastAsia="en-US"/>
        </w:rPr>
        <w:t>information</w:t>
      </w:r>
      <w:r w:rsidR="00780CBB" w:rsidRPr="00D16B79">
        <w:rPr>
          <w:rFonts w:ascii="Times New Roman" w:eastAsia="Cambria" w:hAnsi="Times New Roman"/>
          <w:lang w:val="en-US" w:eastAsia="en-US"/>
        </w:rPr>
        <w:t xml:space="preserve"> will shift consumer preferences to the charity with more positive </w:t>
      </w:r>
      <w:r w:rsidR="00113BBC" w:rsidRPr="00D16B79">
        <w:rPr>
          <w:rFonts w:ascii="Times New Roman" w:eastAsia="Cambria" w:hAnsi="Times New Roman"/>
          <w:lang w:val="en-US" w:eastAsia="en-US"/>
        </w:rPr>
        <w:t>ratings</w:t>
      </w:r>
      <w:r w:rsidR="00CB5EDA">
        <w:rPr>
          <w:rFonts w:ascii="Times New Roman" w:eastAsia="Cambria" w:hAnsi="Times New Roman"/>
          <w:lang w:val="en-US" w:eastAsia="en-US"/>
        </w:rPr>
        <w:t xml:space="preserve"> when combined with higher goal progress</w:t>
      </w:r>
      <w:r w:rsidR="00780CBB" w:rsidRPr="00D16B79">
        <w:rPr>
          <w:rFonts w:ascii="Times New Roman" w:eastAsia="Cambria" w:hAnsi="Times New Roman"/>
          <w:lang w:val="en-US" w:eastAsia="en-US"/>
        </w:rPr>
        <w:t>.</w:t>
      </w:r>
      <w:r w:rsidR="007909A7" w:rsidRPr="00D16B79">
        <w:rPr>
          <w:rFonts w:ascii="Times New Roman" w:eastAsia="Cambria" w:hAnsi="Times New Roman"/>
          <w:lang w:val="en-US" w:eastAsia="en-US"/>
        </w:rPr>
        <w:t xml:space="preserve"> It is</w:t>
      </w:r>
      <w:r w:rsidR="00780CBB" w:rsidRPr="00D16B79">
        <w:rPr>
          <w:rFonts w:ascii="Times New Roman" w:eastAsia="Cambria" w:hAnsi="Times New Roman"/>
          <w:lang w:val="en-US" w:eastAsia="en-US"/>
        </w:rPr>
        <w:t xml:space="preserve"> also</w:t>
      </w:r>
      <w:r w:rsidR="007909A7" w:rsidRPr="00D16B79">
        <w:rPr>
          <w:rFonts w:ascii="Times New Roman" w:eastAsia="Cambria" w:hAnsi="Times New Roman"/>
          <w:lang w:val="en-US" w:eastAsia="en-US"/>
        </w:rPr>
        <w:t xml:space="preserve"> possible that a cue signaling lower competence</w:t>
      </w:r>
      <w:r w:rsidR="00497991" w:rsidRPr="00D16B79">
        <w:rPr>
          <w:rFonts w:ascii="Times New Roman" w:eastAsia="Cambria" w:hAnsi="Times New Roman"/>
          <w:lang w:val="en-US" w:eastAsia="en-US"/>
        </w:rPr>
        <w:t xml:space="preserve"> (</w:t>
      </w:r>
      <w:r w:rsidR="007909A7" w:rsidRPr="00D16B79">
        <w:rPr>
          <w:rFonts w:ascii="Times New Roman" w:eastAsia="Cambria" w:hAnsi="Times New Roman"/>
          <w:lang w:val="en-US" w:eastAsia="en-US"/>
        </w:rPr>
        <w:t xml:space="preserve">such as </w:t>
      </w:r>
      <w:r w:rsidR="00825B7C" w:rsidRPr="00D16B79">
        <w:rPr>
          <w:rFonts w:ascii="Times New Roman" w:eastAsia="Cambria" w:hAnsi="Times New Roman"/>
          <w:lang w:val="en-US" w:eastAsia="en-US"/>
        </w:rPr>
        <w:t>less experienced employees</w:t>
      </w:r>
      <w:r w:rsidR="004801A1" w:rsidRPr="00D16B79">
        <w:rPr>
          <w:rFonts w:ascii="Times New Roman" w:eastAsia="Cambria" w:hAnsi="Times New Roman"/>
          <w:lang w:val="en-US" w:eastAsia="en-US"/>
        </w:rPr>
        <w:t xml:space="preserve"> or a lower rating on a third-party site</w:t>
      </w:r>
      <w:r w:rsidR="00497991" w:rsidRPr="00D16B79">
        <w:rPr>
          <w:rFonts w:ascii="Times New Roman" w:eastAsia="Cambria" w:hAnsi="Times New Roman"/>
          <w:lang w:val="en-US" w:eastAsia="en-US"/>
        </w:rPr>
        <w:t>)</w:t>
      </w:r>
      <w:r w:rsidR="007909A7" w:rsidRPr="00D16B79">
        <w:rPr>
          <w:rFonts w:ascii="Times New Roman" w:eastAsia="Cambria" w:hAnsi="Times New Roman"/>
          <w:lang w:val="en-US" w:eastAsia="en-US"/>
        </w:rPr>
        <w:t xml:space="preserve"> could </w:t>
      </w:r>
      <w:r w:rsidR="000D5C2A" w:rsidRPr="00D16B79">
        <w:rPr>
          <w:rFonts w:ascii="Times New Roman" w:eastAsia="Cambria" w:hAnsi="Times New Roman"/>
          <w:lang w:val="en-US" w:eastAsia="en-US"/>
        </w:rPr>
        <w:t>be used by donors as a signal of greater need, and therefore (paradoxically) increase donations</w:t>
      </w:r>
      <w:r w:rsidR="00C4631F">
        <w:rPr>
          <w:rFonts w:ascii="Times New Roman" w:eastAsia="Cambria" w:hAnsi="Times New Roman"/>
          <w:lang w:val="en-US" w:eastAsia="en-US"/>
        </w:rPr>
        <w:t xml:space="preserve"> </w:t>
      </w:r>
      <w:r w:rsidR="00716EDA">
        <w:rPr>
          <w:rFonts w:ascii="Times New Roman" w:eastAsia="Cambria" w:hAnsi="Times New Roman"/>
          <w:lang w:val="en-US" w:eastAsia="en-US"/>
        </w:rPr>
        <w:fldChar w:fldCharType="begin"/>
      </w:r>
      <w:r w:rsidR="008A4C73">
        <w:rPr>
          <w:rFonts w:ascii="Times New Roman" w:eastAsia="Cambria" w:hAnsi="Times New Roman"/>
          <w:lang w:val="en-US" w:eastAsia="en-US"/>
        </w:rPr>
        <w:instrText xml:space="preserve"> ADDIN ZOTERO_ITEM CSL_CITATION {"citationID":"dGUxAPsj","properties":{"formattedCitation":"(Zhang et al. 2023)","plainCitation":"(Zhang et al. 2023)","noteIndex":0},"citationItems":[{"id":14875,"uris":["http://zotero.org/users/4606674/items/YFPM4ENV"],"itemData":{"id":14875,"type":"article-journal","container-title":"ACR 2023 Association for Consumer Research Advances in Consumer Research","title":"The Charity Competence Curse: When Signals of Managerial Competence Backfire.","volume":"Volume LI","author":[{"family":"Zhang","given":"Lijun (Shirley)"},{"family":"Allard","given":"Thomas"},{"family":"Hardisty","given":"David"},{"family":"Wang","given":"Xin (Shane)"}],"issued":{"date-parts":[["2023"]]}}}],"schema":"https://github.com/citation-style-language/schema/raw/master/csl-citation.json"} </w:instrText>
      </w:r>
      <w:r w:rsidR="00716EDA">
        <w:rPr>
          <w:rFonts w:ascii="Times New Roman" w:eastAsia="Cambria" w:hAnsi="Times New Roman"/>
          <w:lang w:val="en-US" w:eastAsia="en-US"/>
        </w:rPr>
        <w:fldChar w:fldCharType="separate"/>
      </w:r>
      <w:r w:rsidR="00954224" w:rsidRPr="00954224">
        <w:rPr>
          <w:rFonts w:ascii="Times New Roman" w:hAnsi="Times New Roman"/>
        </w:rPr>
        <w:t>(Zhang et al. 2023)</w:t>
      </w:r>
      <w:r w:rsidR="00716EDA">
        <w:rPr>
          <w:rFonts w:ascii="Times New Roman" w:eastAsia="Cambria" w:hAnsi="Times New Roman"/>
          <w:lang w:val="en-US" w:eastAsia="en-US"/>
        </w:rPr>
        <w:fldChar w:fldCharType="end"/>
      </w:r>
      <w:r w:rsidR="00954224">
        <w:rPr>
          <w:rFonts w:ascii="Times New Roman" w:eastAsia="Cambria" w:hAnsi="Times New Roman"/>
          <w:lang w:val="en-US" w:eastAsia="en-US"/>
        </w:rPr>
        <w:t>.</w:t>
      </w:r>
      <w:r w:rsidR="00077B3F" w:rsidRPr="00D16B79">
        <w:rPr>
          <w:rFonts w:ascii="Times New Roman" w:eastAsia="Cambria" w:hAnsi="Times New Roman"/>
          <w:lang w:val="en-US" w:eastAsia="en-US"/>
        </w:rPr>
        <w:t xml:space="preserve"> </w:t>
      </w:r>
      <w:r w:rsidR="00AE4A90">
        <w:rPr>
          <w:rFonts w:ascii="Times New Roman" w:eastAsia="Cambria" w:hAnsi="Times New Roman"/>
          <w:lang w:val="en-US" w:eastAsia="en-US"/>
        </w:rPr>
        <w:t>There are several other cues that signal neediness, such as the wealth of the target group, or donating necessities rather than nonessential items</w:t>
      </w:r>
      <w:r w:rsidR="00AC26F1">
        <w:rPr>
          <w:rFonts w:ascii="Times New Roman" w:eastAsia="Cambria" w:hAnsi="Times New Roman"/>
          <w:lang w:val="en-US" w:eastAsia="en-US"/>
        </w:rPr>
        <w:t>, that future research can explore further</w:t>
      </w:r>
      <w:r w:rsidR="00AE4A90">
        <w:rPr>
          <w:rFonts w:ascii="Times New Roman" w:eastAsia="Cambria" w:hAnsi="Times New Roman"/>
          <w:lang w:val="en-US" w:eastAsia="en-US"/>
        </w:rPr>
        <w:t xml:space="preserve">. </w:t>
      </w:r>
      <w:r w:rsidR="00817A30">
        <w:rPr>
          <w:rFonts w:ascii="Times New Roman" w:eastAsia="Cambria" w:hAnsi="Times New Roman"/>
          <w:lang w:val="en-US" w:eastAsia="en-US"/>
        </w:rPr>
        <w:t>Moreover, when</w:t>
      </w:r>
      <w:r w:rsidR="00A57D9B">
        <w:rPr>
          <w:rFonts w:ascii="Times New Roman" w:eastAsia="Cambria" w:hAnsi="Times New Roman"/>
          <w:lang w:val="en-US" w:eastAsia="en-US"/>
        </w:rPr>
        <w:t xml:space="preserve"> consumers are considering donating a large</w:t>
      </w:r>
      <w:r w:rsidR="00F759F8">
        <w:rPr>
          <w:rFonts w:ascii="Times New Roman" w:eastAsia="Cambria" w:hAnsi="Times New Roman"/>
          <w:lang w:val="en-US" w:eastAsia="en-US"/>
        </w:rPr>
        <w:t xml:space="preserve"> amount</w:t>
      </w:r>
      <w:r w:rsidR="00A57D9B">
        <w:rPr>
          <w:rFonts w:ascii="Times New Roman" w:eastAsia="Cambria" w:hAnsi="Times New Roman"/>
          <w:lang w:val="en-US" w:eastAsia="en-US"/>
        </w:rPr>
        <w:t>, this</w:t>
      </w:r>
      <w:r w:rsidR="00F759F8">
        <w:rPr>
          <w:rFonts w:ascii="Times New Roman" w:eastAsia="Cambria" w:hAnsi="Times New Roman"/>
          <w:lang w:val="en-US" w:eastAsia="en-US"/>
        </w:rPr>
        <w:t xml:space="preserve"> may also shift </w:t>
      </w:r>
      <w:r w:rsidR="00A57D9B">
        <w:rPr>
          <w:rFonts w:ascii="Times New Roman" w:eastAsia="Cambria" w:hAnsi="Times New Roman"/>
          <w:lang w:val="en-US" w:eastAsia="en-US"/>
        </w:rPr>
        <w:t>their decisions</w:t>
      </w:r>
      <w:r w:rsidR="00F759F8">
        <w:rPr>
          <w:rFonts w:ascii="Times New Roman" w:eastAsia="Cambria" w:hAnsi="Times New Roman"/>
          <w:lang w:val="en-US" w:eastAsia="en-US"/>
        </w:rPr>
        <w:t xml:space="preserve"> towards making an impact. </w:t>
      </w:r>
      <w:r w:rsidR="00423931" w:rsidRPr="00D16B79">
        <w:rPr>
          <w:lang w:val="en-US"/>
        </w:rPr>
        <w:t>T</w:t>
      </w:r>
      <w:r w:rsidR="00F75491" w:rsidRPr="00D16B79">
        <w:rPr>
          <w:lang w:val="en-US"/>
        </w:rPr>
        <w:t xml:space="preserve">he time remaining to fund the loan </w:t>
      </w:r>
      <w:r w:rsidR="0039215C" w:rsidRPr="00D16B79">
        <w:rPr>
          <w:lang w:val="en-US"/>
        </w:rPr>
        <w:t xml:space="preserve">could </w:t>
      </w:r>
      <w:r w:rsidR="00423931" w:rsidRPr="00D16B79">
        <w:rPr>
          <w:lang w:val="en-US"/>
        </w:rPr>
        <w:t xml:space="preserve">also </w:t>
      </w:r>
      <w:r w:rsidR="00F75491" w:rsidRPr="00D16B79">
        <w:rPr>
          <w:lang w:val="en-US"/>
        </w:rPr>
        <w:t xml:space="preserve">be </w:t>
      </w:r>
      <w:r w:rsidR="00892880" w:rsidRPr="00D16B79">
        <w:rPr>
          <w:lang w:val="en-US"/>
        </w:rPr>
        <w:t>a determining</w:t>
      </w:r>
      <w:r w:rsidR="00F75491" w:rsidRPr="00D16B79">
        <w:rPr>
          <w:lang w:val="en-US"/>
        </w:rPr>
        <w:t xml:space="preserve"> factor</w:t>
      </w:r>
      <w:r w:rsidR="000343FA" w:rsidRPr="00D16B79">
        <w:rPr>
          <w:lang w:val="en-US"/>
        </w:rPr>
        <w:t xml:space="preserve"> and d</w:t>
      </w:r>
      <w:r w:rsidR="00563907" w:rsidRPr="00D16B79">
        <w:rPr>
          <w:lang w:val="en-US"/>
        </w:rPr>
        <w:t xml:space="preserve">onors may not wish to fund a loan that is </w:t>
      </w:r>
      <w:r w:rsidR="003C404E" w:rsidRPr="00D16B79">
        <w:rPr>
          <w:lang w:val="en-US"/>
        </w:rPr>
        <w:t>farther</w:t>
      </w:r>
      <w:r w:rsidR="00563907" w:rsidRPr="00D16B79">
        <w:rPr>
          <w:lang w:val="en-US"/>
        </w:rPr>
        <w:t xml:space="preserve"> from its goal if there is very little time remaining</w:t>
      </w:r>
      <w:r w:rsidR="000343FA" w:rsidRPr="00D16B79">
        <w:rPr>
          <w:lang w:val="en-US"/>
        </w:rPr>
        <w:t>, opting instead to make an impact by funding one closer to its goal</w:t>
      </w:r>
      <w:r w:rsidR="00DB6E64" w:rsidRPr="00D16B79">
        <w:rPr>
          <w:lang w:val="en-US"/>
        </w:rPr>
        <w:t xml:space="preserve"> </w:t>
      </w:r>
      <w:r w:rsidR="00C6328F" w:rsidRPr="00D16B79">
        <w:rPr>
          <w:lang w:val="en-US"/>
        </w:rPr>
        <w:t>in order to ensure that it reaches it in time.</w:t>
      </w:r>
      <w:r w:rsidR="00077B3F" w:rsidRPr="00D16B79">
        <w:rPr>
          <w:lang w:val="en-US"/>
        </w:rPr>
        <w:t xml:space="preserve"> </w:t>
      </w:r>
    </w:p>
    <w:p w14:paraId="1DD17F81" w14:textId="2F196922" w:rsidR="006C5EAF" w:rsidRPr="00D16B79" w:rsidRDefault="006C5EAF" w:rsidP="006C5EAF">
      <w:pPr>
        <w:spacing w:line="480" w:lineRule="auto"/>
        <w:ind w:firstLine="720"/>
        <w:rPr>
          <w:rFonts w:ascii="Times New Roman" w:eastAsia="Cambria" w:hAnsi="Times New Roman"/>
          <w:lang w:val="en-US" w:eastAsia="en-US"/>
        </w:rPr>
      </w:pPr>
      <w:r w:rsidRPr="00D16B79">
        <w:rPr>
          <w:lang w:val="en-US"/>
        </w:rPr>
        <w:t>While we d</w:t>
      </w:r>
      <w:r w:rsidR="00CB5EDA">
        <w:rPr>
          <w:lang w:val="en-US"/>
        </w:rPr>
        <w:t>id</w:t>
      </w:r>
      <w:r w:rsidRPr="00D16B79">
        <w:rPr>
          <w:lang w:val="en-US"/>
        </w:rPr>
        <w:t xml:space="preserve"> not find </w:t>
      </w:r>
      <w:r w:rsidR="00A8793F">
        <w:rPr>
          <w:lang w:val="en-US"/>
        </w:rPr>
        <w:t xml:space="preserve">evidence of </w:t>
      </w:r>
      <w:r w:rsidRPr="00D16B79">
        <w:rPr>
          <w:lang w:val="en-US"/>
        </w:rPr>
        <w:t>the closing-the-gap effect w</w:t>
      </w:r>
      <w:r w:rsidR="00A8793F">
        <w:rPr>
          <w:lang w:val="en-US"/>
        </w:rPr>
        <w:t>hen for-profit (</w:t>
      </w:r>
      <w:r w:rsidR="00A358C3">
        <w:rPr>
          <w:lang w:val="en-US"/>
        </w:rPr>
        <w:t xml:space="preserve">vs. </w:t>
      </w:r>
      <w:r w:rsidR="00A8793F">
        <w:rPr>
          <w:lang w:val="en-US"/>
        </w:rPr>
        <w:t>non-profit) motivations were relatively more salient</w:t>
      </w:r>
      <w:r w:rsidRPr="00D16B79">
        <w:rPr>
          <w:lang w:val="en-US"/>
        </w:rPr>
        <w:t xml:space="preserve">, it is possible that joint evaluation can drive </w:t>
      </w:r>
      <w:r w:rsidR="00A8793F">
        <w:rPr>
          <w:lang w:val="en-US"/>
        </w:rPr>
        <w:t>support for</w:t>
      </w:r>
      <w:r w:rsidRPr="00D16B79">
        <w:rPr>
          <w:lang w:val="en-US"/>
        </w:rPr>
        <w:t xml:space="preserve"> for-profit organizations in certain situations. </w:t>
      </w:r>
      <w:r w:rsidR="00A8793F">
        <w:rPr>
          <w:lang w:val="en-US"/>
        </w:rPr>
        <w:t xml:space="preserve">What we see as being most important </w:t>
      </w:r>
      <w:r w:rsidR="00AB7401">
        <w:rPr>
          <w:lang w:val="en-US"/>
        </w:rPr>
        <w:t xml:space="preserve">for the closing the gap effect to emerge </w:t>
      </w:r>
      <w:r w:rsidR="00A8793F">
        <w:rPr>
          <w:lang w:val="en-US"/>
        </w:rPr>
        <w:t xml:space="preserve">is whether the context activates a relative focus on need. It could be the case, for example, that </w:t>
      </w:r>
      <w:r w:rsidR="00A358C3">
        <w:rPr>
          <w:lang w:val="en-US"/>
        </w:rPr>
        <w:t xml:space="preserve">a </w:t>
      </w:r>
      <w:r w:rsidR="00A8793F">
        <w:rPr>
          <w:lang w:val="en-US"/>
        </w:rPr>
        <w:t xml:space="preserve">for-profit venture that has a narrative of trying to overcome adversity, might </w:t>
      </w:r>
      <w:r w:rsidR="00A358C3">
        <w:rPr>
          <w:lang w:val="en-US"/>
        </w:rPr>
        <w:t xml:space="preserve">be a </w:t>
      </w:r>
      <w:r w:rsidR="00A8793F">
        <w:rPr>
          <w:lang w:val="en-US"/>
        </w:rPr>
        <w:t>condition under which a focus on need is activat</w:t>
      </w:r>
      <w:r w:rsidR="00A358C3">
        <w:rPr>
          <w:lang w:val="en-US"/>
        </w:rPr>
        <w:t>ed for potential supporters</w:t>
      </w:r>
      <w:r w:rsidR="00A8793F">
        <w:rPr>
          <w:lang w:val="en-US"/>
        </w:rPr>
        <w:t>. We expect that</w:t>
      </w:r>
      <w:r w:rsidR="00A358C3">
        <w:rPr>
          <w:lang w:val="en-US"/>
        </w:rPr>
        <w:t>,</w:t>
      </w:r>
      <w:r w:rsidR="00A8793F">
        <w:rPr>
          <w:lang w:val="en-US"/>
        </w:rPr>
        <w:t xml:space="preserve"> under such conditions</w:t>
      </w:r>
      <w:r w:rsidR="00A358C3">
        <w:rPr>
          <w:lang w:val="en-US"/>
        </w:rPr>
        <w:t>,</w:t>
      </w:r>
      <w:r w:rsidR="00A8793F">
        <w:rPr>
          <w:lang w:val="en-US"/>
        </w:rPr>
        <w:t xml:space="preserve"> we </w:t>
      </w:r>
      <w:r w:rsidR="00AB7401">
        <w:rPr>
          <w:lang w:val="en-US"/>
        </w:rPr>
        <w:t xml:space="preserve">might </w:t>
      </w:r>
      <w:r w:rsidR="00A8793F">
        <w:rPr>
          <w:lang w:val="en-US"/>
        </w:rPr>
        <w:t>see greater support for such a venture when it is jointly evaluated and is f</w:t>
      </w:r>
      <w:r w:rsidR="004B565D">
        <w:rPr>
          <w:lang w:val="en-US"/>
        </w:rPr>
        <w:t>a</w:t>
      </w:r>
      <w:r w:rsidR="00A8793F">
        <w:rPr>
          <w:lang w:val="en-US"/>
        </w:rPr>
        <w:t>rther from</w:t>
      </w:r>
      <w:r w:rsidR="00A358C3">
        <w:rPr>
          <w:lang w:val="en-US"/>
        </w:rPr>
        <w:t xml:space="preserve"> (vs. closer to)</w:t>
      </w:r>
      <w:r w:rsidR="00A8793F">
        <w:rPr>
          <w:lang w:val="en-US"/>
        </w:rPr>
        <w:t xml:space="preserve"> its goal. In addition, other factors might heighten a focus on need in for-profit contexts, such as when the</w:t>
      </w:r>
      <w:r w:rsidRPr="00D16B79">
        <w:rPr>
          <w:lang w:val="en-US"/>
        </w:rPr>
        <w:t xml:space="preserve"> </w:t>
      </w:r>
      <w:r w:rsidR="00A358C3">
        <w:rPr>
          <w:lang w:val="en-US"/>
        </w:rPr>
        <w:t xml:space="preserve">organization </w:t>
      </w:r>
      <w:r w:rsidR="00A8793F">
        <w:rPr>
          <w:lang w:val="en-US"/>
        </w:rPr>
        <w:t xml:space="preserve">is </w:t>
      </w:r>
      <w:r w:rsidR="00A8793F">
        <w:rPr>
          <w:lang w:val="en-US"/>
        </w:rPr>
        <w:lastRenderedPageBreak/>
        <w:t xml:space="preserve">engaged in meaningful </w:t>
      </w:r>
      <w:r w:rsidRPr="00D16B79">
        <w:rPr>
          <w:lang w:val="en-US"/>
        </w:rPr>
        <w:t xml:space="preserve">corporate social responsibility </w:t>
      </w:r>
      <w:r w:rsidR="00A8793F">
        <w:rPr>
          <w:lang w:val="en-US"/>
        </w:rPr>
        <w:t>or is</w:t>
      </w:r>
      <w:r w:rsidRPr="00D16B79">
        <w:rPr>
          <w:lang w:val="en-US"/>
        </w:rPr>
        <w:t xml:space="preserve"> owned by </w:t>
      </w:r>
      <w:r w:rsidR="00A358C3">
        <w:rPr>
          <w:lang w:val="en-US"/>
        </w:rPr>
        <w:t xml:space="preserve">people from underrepresented or historically </w:t>
      </w:r>
      <w:r w:rsidRPr="00D16B79">
        <w:rPr>
          <w:lang w:val="en-US"/>
        </w:rPr>
        <w:t>disadvantaged groups</w:t>
      </w:r>
      <w:r w:rsidR="00A358C3">
        <w:rPr>
          <w:lang w:val="en-US"/>
        </w:rPr>
        <w:t xml:space="preserve"> (e.g., those who are BIPOC (black, Indigenous, and people of color, etc.), women, </w:t>
      </w:r>
      <w:r w:rsidR="00954224">
        <w:rPr>
          <w:lang w:val="en-US"/>
        </w:rPr>
        <w:t xml:space="preserve">and </w:t>
      </w:r>
      <w:r w:rsidR="00A358C3">
        <w:rPr>
          <w:lang w:val="en-US"/>
        </w:rPr>
        <w:t>those with disabilities)</w:t>
      </w:r>
      <w:r w:rsidRPr="00D16B79">
        <w:rPr>
          <w:lang w:val="en-US"/>
        </w:rPr>
        <w:t xml:space="preserve">. Future research can investigate the types of and circumstances </w:t>
      </w:r>
      <w:r w:rsidR="00A358C3">
        <w:rPr>
          <w:lang w:val="en-US"/>
        </w:rPr>
        <w:t xml:space="preserve">under </w:t>
      </w:r>
      <w:r w:rsidRPr="00D16B79">
        <w:rPr>
          <w:lang w:val="en-US"/>
        </w:rPr>
        <w:t>which</w:t>
      </w:r>
      <w:r w:rsidR="00A358C3">
        <w:rPr>
          <w:lang w:val="en-US"/>
        </w:rPr>
        <w:t xml:space="preserve"> the closing-the-gap effect emerges in for</w:t>
      </w:r>
      <w:r w:rsidR="004B565D">
        <w:rPr>
          <w:lang w:val="en-US"/>
        </w:rPr>
        <w:t>-</w:t>
      </w:r>
      <w:r w:rsidR="00A358C3">
        <w:rPr>
          <w:lang w:val="en-US"/>
        </w:rPr>
        <w:t xml:space="preserve">profit contexts. </w:t>
      </w:r>
    </w:p>
    <w:p w14:paraId="5877A6AF" w14:textId="53942DB3" w:rsidR="000D0321" w:rsidRPr="00D16B79" w:rsidRDefault="004B5A6D" w:rsidP="005A76C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O</w:t>
      </w:r>
      <w:r w:rsidR="00232FFB" w:rsidRPr="00D16B79">
        <w:rPr>
          <w:rFonts w:ascii="Times New Roman" w:eastAsia="Cambria" w:hAnsi="Times New Roman"/>
          <w:lang w:val="en-US" w:eastAsia="en-US"/>
        </w:rPr>
        <w:t xml:space="preserve">ur </w:t>
      </w:r>
      <w:r w:rsidR="00A315CD" w:rsidRPr="00D16B79">
        <w:rPr>
          <w:rFonts w:ascii="Times New Roman" w:eastAsia="Cambria" w:hAnsi="Times New Roman"/>
          <w:lang w:val="en-US" w:eastAsia="en-US"/>
        </w:rPr>
        <w:t>work</w:t>
      </w:r>
      <w:r w:rsidR="00232FFB" w:rsidRPr="00D16B79">
        <w:rPr>
          <w:rFonts w:ascii="Times New Roman" w:eastAsia="Cambria" w:hAnsi="Times New Roman"/>
          <w:lang w:val="en-US" w:eastAsia="en-US"/>
        </w:rPr>
        <w:t xml:space="preserve"> </w:t>
      </w:r>
      <w:r w:rsidR="009F7621" w:rsidRPr="00D16B79">
        <w:rPr>
          <w:rFonts w:ascii="Times New Roman" w:eastAsia="Cambria" w:hAnsi="Times New Roman"/>
          <w:lang w:val="en-US" w:eastAsia="en-US"/>
        </w:rPr>
        <w:t>could also contribute</w:t>
      </w:r>
      <w:r w:rsidR="00232FFB" w:rsidRPr="00D16B79">
        <w:rPr>
          <w:rFonts w:ascii="Times New Roman" w:eastAsia="Cambria" w:hAnsi="Times New Roman"/>
          <w:lang w:val="en-US" w:eastAsia="en-US"/>
        </w:rPr>
        <w:t xml:space="preserve"> to research on the underdog effect</w:t>
      </w:r>
      <w:r w:rsidR="009F7621" w:rsidRPr="00D16B79">
        <w:rPr>
          <w:rFonts w:ascii="Times New Roman" w:eastAsia="Cambria" w:hAnsi="Times New Roman"/>
          <w:lang w:val="en-US" w:eastAsia="en-US"/>
        </w:rPr>
        <w:t xml:space="preserve"> </w:t>
      </w:r>
      <w:r w:rsidR="0079360E"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{"citationID":"a1csubcsap4","properties":{"formattedCitation":"(Bradley, Lawrence, and Ferguson 2019; Kirmani et al. 2017)","plainCitation":"(Bradley, Lawrence, and Ferguson 2019; Kirmani et al. 2017)","noteIndex":0},"citationItems":[{"id":2471,"uris":["http://zotero.org/users/4606674/items/4PXH48Q4"],"itemData":{"id":2471,"type":"article-journal","abstract":"In fundraising, it is common for the donor to see how much a charity has received so far. What is the impact of this information on (a) how much people choose to donate and (b) which charity they choose to donate to? Conditional cooperation suggests that people will donate to the charity that has received the most prior support, while the Underdog Effect suggests increased donations to the charity with the least support. Across two laboratory experiments, an online study (combined N = 494) and a qualitative survey (N = 60), a consistent preference to donate to the charity with the least prior support was observed. Thus, the Underdog Effect was supported. We suggest people will show a preference for the underdog if there are two or more charities to donate to, one of the charities is at a disadvantage, and people have little preexisting loyalty to either charity.","container-title":"Nonprofit and Voluntary Sector Quarterly","DOI":"10.1177/0899764018794305","issue":"1","language":"en","page":"20","source":"Zotero","title":"When the Relatively Poor Prosper: The Underdog Effect on Charitable Donations","volume":"48","author":[{"family":"Bradley","given":"Alex"},{"family":"Lawrence","given":"Claire"},{"family":"Ferguson","given":"Eamonn"}],"issued":{"date-parts":[["2019"]]}}},{"id":1192,"uris":["http://zotero.org/users/4606674/items/ZJ4Y6RPL"],"itemData":{"id":1192,"type":"article-journal","abstract":"This research examines how consumers make trade-offs between highly competent, less moral service providers and highly moral, less competent service providers. Counter to research on general impression formation, which shows that moral traits dominate competence traits, the authors demonstrate that when choosing between service providers, consumers systematically value competence more than morality. However, underdog positioning moderates this effect. When a moral service provider is positioned as an underdog, consumers feel empathy, thereby attenuating the dominance of competence. Notably, although underdog positioning can help a moral provider overcome a deficit in competence, it does not help a competent service provider overcome a deficit in morality or a warm provider overcome a deficit in competence. Thus, underdog positioning is particularly well suited for less competent service providers who are highly moral.","container-title":"Journal of Marketing","DOI":"10.1509/jm.15.0369","ISSN":"0022-2429","issue":"1","journalAbbreviation":"J. Mark.","language":"English","note":"WOS:000392483500006","page":"103-117","source":"Web of Science","title":"Doing Well Versus Doing Good: The Differential Effect of Underdog Positioning on Moral and Competent Service Providers","title-short":"Doing Well Versus Doing Good","volume":"81","author":[{"family":"Kirmani","given":"Amna"},{"family":"Hamilton","given":"Rebecca W."},{"family":"Thompson","given":"Debora V."},{"family":"Lantzy","given":"Shannon"}],"issued":{"date-parts":[["2017",1]]}}}],"schema":"https://github.com/citation-style-language/schema/raw/master/csl-citation.json"} </w:instrText>
      </w:r>
      <w:r w:rsidR="0079360E" w:rsidRPr="00D16B79">
        <w:rPr>
          <w:rFonts w:ascii="Times New Roman" w:eastAsia="Cambria" w:hAnsi="Times New Roman"/>
          <w:lang w:val="en-US" w:eastAsia="en-US"/>
        </w:rPr>
        <w:fldChar w:fldCharType="separate"/>
      </w:r>
      <w:r w:rsidR="00FA5441" w:rsidRPr="00D16B79">
        <w:rPr>
          <w:rFonts w:ascii="Times New Roman" w:hAnsi="Times New Roman"/>
          <w:lang w:val="en-US"/>
        </w:rPr>
        <w:t>(Bradley, Lawrence, and Ferguson 2019; Kirmani et al. 2017)</w:t>
      </w:r>
      <w:r w:rsidR="0079360E" w:rsidRPr="00D16B79">
        <w:rPr>
          <w:rFonts w:ascii="Times New Roman" w:eastAsia="Cambria" w:hAnsi="Times New Roman"/>
          <w:lang w:val="en-US" w:eastAsia="en-US"/>
        </w:rPr>
        <w:fldChar w:fldCharType="end"/>
      </w:r>
      <w:r w:rsidR="0079360E" w:rsidRPr="00D16B79">
        <w:rPr>
          <w:rFonts w:ascii="Times New Roman" w:eastAsia="Cambria" w:hAnsi="Times New Roman"/>
          <w:lang w:val="en-US" w:eastAsia="en-US"/>
        </w:rPr>
        <w:t xml:space="preserve">. </w:t>
      </w:r>
      <w:r w:rsidR="003A0DC3" w:rsidRPr="00D16B79">
        <w:rPr>
          <w:rFonts w:ascii="Times New Roman" w:eastAsia="Cambria" w:hAnsi="Times New Roman"/>
          <w:lang w:val="en-US" w:eastAsia="en-US"/>
        </w:rPr>
        <w:t xml:space="preserve">Underdogs are conceptualized as </w:t>
      </w:r>
      <w:r w:rsidR="00F6353A" w:rsidRPr="00D16B79">
        <w:rPr>
          <w:rFonts w:ascii="Times New Roman" w:eastAsia="Cambria" w:hAnsi="Times New Roman"/>
          <w:lang w:val="en-US" w:eastAsia="en-US"/>
        </w:rPr>
        <w:t>people, brands</w:t>
      </w:r>
      <w:r w:rsidR="00497991" w:rsidRPr="00D16B79">
        <w:rPr>
          <w:rFonts w:ascii="Times New Roman" w:eastAsia="Cambria" w:hAnsi="Times New Roman"/>
          <w:lang w:val="en-US" w:eastAsia="en-US"/>
        </w:rPr>
        <w:t>,</w:t>
      </w:r>
      <w:r w:rsidR="00F6353A" w:rsidRPr="00D16B79">
        <w:rPr>
          <w:rFonts w:ascii="Times New Roman" w:eastAsia="Cambria" w:hAnsi="Times New Roman"/>
          <w:lang w:val="en-US" w:eastAsia="en-US"/>
        </w:rPr>
        <w:t xml:space="preserve"> or organizations</w:t>
      </w:r>
      <w:r w:rsidR="003A0DC3" w:rsidRPr="00D16B79">
        <w:rPr>
          <w:rFonts w:ascii="Times New Roman" w:eastAsia="Cambria" w:hAnsi="Times New Roman"/>
          <w:lang w:val="en-US" w:eastAsia="en-US"/>
        </w:rPr>
        <w:t xml:space="preserve"> facing disadvantage that have greater passion and determination to succeed </w:t>
      </w:r>
      <w:r w:rsidR="003A0DC3"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{"citationID":"a2nhe06t9f6","properties":{"formattedCitation":"(Paharia et al. 2011)","plainCitation":"(Paharia et al. 2011)","noteIndex":0},"citationItems":[{"id":2439,"uris":["http://zotero.org/users/4606674/items/2TR6MTII"],"itemData":{"id":2439,"type":"article-journal","abstract":"We introduce the concept of an underdog brand biography to describe an emerging trend in branding in which firms author a historical account of their humble origins, lack of resources, and determined struggle against the odds. We identify two essential dimensions of an underdog biography: external disadvantage, and passion and determination. We demonstrate that such a biography can increase purchase intentions, real choice, and brand loyalty. We argue that these biographies are effective because consumers react positively when they see the underdog aspects of their own lives being reflected in branded products. Four studies demonstrate that the underdog brand biography effect is driven by identity mechanisms: we show that the effect is (a) mediated by consumers' identification with the brand, (b) greater for consumers who strongly self-identify as underdogs, (c) stronger when consumers are purchasing for themselves versus for others, and (d) stronger in cultures in which underdog narratives are part of the national identity.","container-title":"Journal of Consumer Research","DOI":"10.1086/656219","ISSN":"0093-5301","issue":"5","journalAbbreviation":"Journal of Consumer Research","page":"775-790","source":"Silverchair","title":"The Underdog Effect: The Marketing of Disadvantage and Determination through Brand Biography","title-short":"The Underdog Effect","volume":"37","author":[{"family":"Paharia","given":"Neeru"},{"family":"Keinan","given":"Anat"},{"family":"Avery","given":"Jill"},{"family":"Schor","given":"Juliet B."}],"issued":{"date-parts":[["2011",2,1]]}}}],"schema":"https://github.com/citation-style-language/schema/raw/master/csl-citation.json"} </w:instrText>
      </w:r>
      <w:r w:rsidR="003A0DC3" w:rsidRPr="00D16B79">
        <w:rPr>
          <w:rFonts w:ascii="Times New Roman" w:eastAsia="Cambria" w:hAnsi="Times New Roman"/>
          <w:lang w:val="en-US" w:eastAsia="en-US"/>
        </w:rPr>
        <w:fldChar w:fldCharType="separate"/>
      </w:r>
      <w:r w:rsidR="00FA5441" w:rsidRPr="00D16B79">
        <w:rPr>
          <w:rFonts w:ascii="Times New Roman" w:hAnsi="Times New Roman"/>
          <w:lang w:val="en-US"/>
        </w:rPr>
        <w:t>(Paharia et al. 2011)</w:t>
      </w:r>
      <w:r w:rsidR="003A0DC3" w:rsidRPr="00D16B79">
        <w:rPr>
          <w:rFonts w:ascii="Times New Roman" w:eastAsia="Cambria" w:hAnsi="Times New Roman"/>
          <w:lang w:val="en-US" w:eastAsia="en-US"/>
        </w:rPr>
        <w:fldChar w:fldCharType="end"/>
      </w:r>
      <w:r w:rsidR="003A0DC3" w:rsidRPr="00D16B79">
        <w:rPr>
          <w:rFonts w:ascii="Times New Roman" w:eastAsia="Cambria" w:hAnsi="Times New Roman"/>
          <w:lang w:val="en-US" w:eastAsia="en-US"/>
        </w:rPr>
        <w:t>. Previous work</w:t>
      </w:r>
      <w:r w:rsidR="0079360E" w:rsidRPr="00D16B79">
        <w:rPr>
          <w:rFonts w:ascii="Times New Roman" w:eastAsia="Cambria" w:hAnsi="Times New Roman"/>
          <w:lang w:val="en-US" w:eastAsia="en-US"/>
        </w:rPr>
        <w:t xml:space="preserve"> on underdogs</w:t>
      </w:r>
      <w:r w:rsidR="003A0DC3" w:rsidRPr="00D16B79">
        <w:rPr>
          <w:rFonts w:ascii="Times New Roman" w:eastAsia="Cambria" w:hAnsi="Times New Roman"/>
          <w:lang w:val="en-US" w:eastAsia="en-US"/>
        </w:rPr>
        <w:t xml:space="preserve"> </w:t>
      </w:r>
      <w:r w:rsidR="000D5C2A" w:rsidRPr="00D16B79">
        <w:rPr>
          <w:rFonts w:ascii="Times New Roman" w:eastAsia="Cambria" w:hAnsi="Times New Roman"/>
          <w:lang w:val="en-US" w:eastAsia="en-US"/>
        </w:rPr>
        <w:t xml:space="preserve">has typically used </w:t>
      </w:r>
      <w:r w:rsidR="003A0DC3" w:rsidRPr="00D16B79">
        <w:rPr>
          <w:rFonts w:ascii="Times New Roman" w:eastAsia="Cambria" w:hAnsi="Times New Roman"/>
          <w:lang w:val="en-US" w:eastAsia="en-US"/>
        </w:rPr>
        <w:t>narratives</w:t>
      </w:r>
      <w:r w:rsidR="005830E9" w:rsidRPr="00D16B79">
        <w:rPr>
          <w:rFonts w:ascii="Times New Roman" w:eastAsia="Cambria" w:hAnsi="Times New Roman"/>
          <w:lang w:val="en-US" w:eastAsia="en-US"/>
        </w:rPr>
        <w:t xml:space="preserve"> and brand biographies</w:t>
      </w:r>
      <w:r w:rsidR="003A0DC3" w:rsidRPr="00D16B79">
        <w:rPr>
          <w:rFonts w:ascii="Times New Roman" w:eastAsia="Cambria" w:hAnsi="Times New Roman"/>
          <w:lang w:val="en-US" w:eastAsia="en-US"/>
        </w:rPr>
        <w:t xml:space="preserve"> to highlight </w:t>
      </w:r>
      <w:r w:rsidR="005830E9" w:rsidRPr="00D16B79">
        <w:rPr>
          <w:rFonts w:ascii="Times New Roman" w:eastAsia="Cambria" w:hAnsi="Times New Roman"/>
          <w:lang w:val="en-US" w:eastAsia="en-US"/>
        </w:rPr>
        <w:t>struggles faced by smaller firms</w:t>
      </w:r>
      <w:r w:rsidR="00F500D6" w:rsidRPr="00D16B79">
        <w:rPr>
          <w:rFonts w:ascii="Times New Roman" w:eastAsia="Cambria" w:hAnsi="Times New Roman"/>
          <w:lang w:val="en-US" w:eastAsia="en-US"/>
        </w:rPr>
        <w:t xml:space="preserve">, their </w:t>
      </w:r>
      <w:r w:rsidR="00ED798F" w:rsidRPr="00D16B79">
        <w:rPr>
          <w:rFonts w:ascii="Times New Roman" w:eastAsia="Cambria" w:hAnsi="Times New Roman"/>
          <w:lang w:val="en-US" w:eastAsia="en-US"/>
        </w:rPr>
        <w:t xml:space="preserve">dedication </w:t>
      </w:r>
      <w:r w:rsidR="00232FFB" w:rsidRPr="00D16B79">
        <w:rPr>
          <w:rFonts w:ascii="Times New Roman" w:eastAsia="Cambria" w:hAnsi="Times New Roman"/>
          <w:lang w:val="en-US" w:eastAsia="en-US"/>
        </w:rPr>
        <w:t>and effort</w:t>
      </w:r>
      <w:r w:rsidR="00F500D6" w:rsidRPr="00D16B79">
        <w:rPr>
          <w:rFonts w:ascii="Times New Roman" w:eastAsia="Cambria" w:hAnsi="Times New Roman"/>
          <w:lang w:val="en-US" w:eastAsia="en-US"/>
        </w:rPr>
        <w:t>,</w:t>
      </w:r>
      <w:r w:rsidR="003A0DC3" w:rsidRPr="00D16B79">
        <w:rPr>
          <w:rFonts w:ascii="Times New Roman" w:eastAsia="Cambria" w:hAnsi="Times New Roman"/>
          <w:lang w:val="en-US" w:eastAsia="en-US"/>
        </w:rPr>
        <w:t xml:space="preserve"> </w:t>
      </w:r>
      <w:r w:rsidR="00B774AD" w:rsidRPr="00D16B79">
        <w:rPr>
          <w:rFonts w:ascii="Times New Roman" w:eastAsia="Cambria" w:hAnsi="Times New Roman"/>
          <w:lang w:val="en-US" w:eastAsia="en-US"/>
        </w:rPr>
        <w:t xml:space="preserve">and </w:t>
      </w:r>
      <w:r w:rsidR="000D5C2A" w:rsidRPr="00D16B79">
        <w:rPr>
          <w:rFonts w:ascii="Times New Roman" w:eastAsia="Cambria" w:hAnsi="Times New Roman"/>
          <w:lang w:val="en-US" w:eastAsia="en-US"/>
        </w:rPr>
        <w:t>their</w:t>
      </w:r>
      <w:r w:rsidR="003A0DC3" w:rsidRPr="00D16B79">
        <w:rPr>
          <w:rFonts w:ascii="Times New Roman" w:eastAsia="Cambria" w:hAnsi="Times New Roman"/>
          <w:lang w:val="en-US" w:eastAsia="en-US"/>
        </w:rPr>
        <w:t xml:space="preserve"> competition </w:t>
      </w:r>
      <w:r w:rsidR="005830E9" w:rsidRPr="00D16B79">
        <w:rPr>
          <w:rFonts w:ascii="Times New Roman" w:eastAsia="Cambria" w:hAnsi="Times New Roman"/>
          <w:lang w:val="en-US" w:eastAsia="en-US"/>
        </w:rPr>
        <w:t>with larger firms</w:t>
      </w:r>
      <w:r w:rsidR="00B774AD" w:rsidRPr="00D16B79">
        <w:rPr>
          <w:rFonts w:ascii="Times New Roman" w:eastAsia="Cambria" w:hAnsi="Times New Roman"/>
          <w:lang w:val="en-US" w:eastAsia="en-US"/>
        </w:rPr>
        <w:t>.</w:t>
      </w:r>
      <w:r w:rsidR="0013364E" w:rsidRPr="00D16B79">
        <w:rPr>
          <w:rFonts w:ascii="Times New Roman" w:eastAsia="Cambria" w:hAnsi="Times New Roman"/>
          <w:lang w:val="en-US" w:eastAsia="en-US"/>
        </w:rPr>
        <w:t xml:space="preserve"> </w:t>
      </w:r>
      <w:r w:rsidR="00F500D6" w:rsidRPr="00D16B79">
        <w:rPr>
          <w:rFonts w:ascii="Times New Roman" w:eastAsia="Cambria" w:hAnsi="Times New Roman"/>
          <w:lang w:val="en-US" w:eastAsia="en-US"/>
        </w:rPr>
        <w:t>In our studies consumers are not provided with any information about the charities’ passion or determination. If consumers are making this interpretation on their own</w:t>
      </w:r>
      <w:r w:rsidR="00497991" w:rsidRPr="00D16B79">
        <w:rPr>
          <w:rFonts w:ascii="Times New Roman" w:eastAsia="Cambria" w:hAnsi="Times New Roman"/>
          <w:lang w:val="en-US" w:eastAsia="en-US"/>
        </w:rPr>
        <w:t>,</w:t>
      </w:r>
      <w:r w:rsidR="00F500D6" w:rsidRPr="00D16B79">
        <w:rPr>
          <w:rFonts w:ascii="Times New Roman" w:eastAsia="Cambria" w:hAnsi="Times New Roman"/>
          <w:lang w:val="en-US" w:eastAsia="en-US"/>
        </w:rPr>
        <w:t xml:space="preserve"> then this indicates that underdog effects </w:t>
      </w:r>
      <w:r w:rsidR="009F7621" w:rsidRPr="00D16B79">
        <w:rPr>
          <w:rFonts w:ascii="Times New Roman" w:eastAsia="Cambria" w:hAnsi="Times New Roman"/>
          <w:lang w:val="en-US" w:eastAsia="en-US"/>
        </w:rPr>
        <w:t xml:space="preserve">might </w:t>
      </w:r>
      <w:r w:rsidR="00F500D6" w:rsidRPr="00D16B79">
        <w:rPr>
          <w:rFonts w:ascii="Times New Roman" w:eastAsia="Cambria" w:hAnsi="Times New Roman"/>
          <w:lang w:val="en-US" w:eastAsia="en-US"/>
        </w:rPr>
        <w:t xml:space="preserve">arise </w:t>
      </w:r>
      <w:r w:rsidR="00243BB1" w:rsidRPr="00D16B79">
        <w:rPr>
          <w:rFonts w:ascii="Times New Roman" w:eastAsia="Cambria" w:hAnsi="Times New Roman"/>
          <w:lang w:val="en-US" w:eastAsia="en-US"/>
        </w:rPr>
        <w:t xml:space="preserve">when </w:t>
      </w:r>
      <w:r w:rsidR="00497991" w:rsidRPr="00D16B79">
        <w:rPr>
          <w:rFonts w:ascii="Times New Roman" w:eastAsia="Cambria" w:hAnsi="Times New Roman"/>
          <w:lang w:val="en-US" w:eastAsia="en-US"/>
        </w:rPr>
        <w:t>mere</w:t>
      </w:r>
      <w:r w:rsidR="00243BB1" w:rsidRPr="00D16B79">
        <w:rPr>
          <w:rFonts w:ascii="Times New Roman" w:eastAsia="Cambria" w:hAnsi="Times New Roman"/>
          <w:lang w:val="en-US" w:eastAsia="en-US"/>
        </w:rPr>
        <w:t>ly</w:t>
      </w:r>
      <w:r w:rsidR="00F500D6" w:rsidRPr="00D16B79">
        <w:rPr>
          <w:rFonts w:ascii="Times New Roman" w:eastAsia="Cambria" w:hAnsi="Times New Roman"/>
          <w:lang w:val="en-US" w:eastAsia="en-US"/>
        </w:rPr>
        <w:t xml:space="preserve"> communicating goal progress information</w:t>
      </w:r>
      <w:r w:rsidR="009F7621" w:rsidRPr="00D16B79">
        <w:rPr>
          <w:rFonts w:ascii="Times New Roman" w:eastAsia="Cambria" w:hAnsi="Times New Roman"/>
          <w:lang w:val="en-US" w:eastAsia="en-US"/>
        </w:rPr>
        <w:t xml:space="preserve"> and coul</w:t>
      </w:r>
      <w:r w:rsidR="00D50F90" w:rsidRPr="00D16B79">
        <w:rPr>
          <w:rFonts w:ascii="Times New Roman" w:eastAsia="Cambria" w:hAnsi="Times New Roman"/>
          <w:lang w:val="en-US" w:eastAsia="en-US"/>
        </w:rPr>
        <w:t>d</w:t>
      </w:r>
      <w:r w:rsidR="009F7621" w:rsidRPr="00D16B79">
        <w:rPr>
          <w:rFonts w:ascii="Times New Roman" w:eastAsia="Cambria" w:hAnsi="Times New Roman"/>
          <w:lang w:val="en-US" w:eastAsia="en-US"/>
        </w:rPr>
        <w:t xml:space="preserve"> potentially be augmented under joint evaluation conditions</w:t>
      </w:r>
      <w:r w:rsidR="00D50F90" w:rsidRPr="00D16B79">
        <w:rPr>
          <w:rFonts w:ascii="Times New Roman" w:eastAsia="Cambria" w:hAnsi="Times New Roman"/>
          <w:lang w:val="en-US" w:eastAsia="en-US"/>
        </w:rPr>
        <w:t xml:space="preserve"> and when the organization is more prosocial in nature</w:t>
      </w:r>
      <w:r w:rsidR="00F500D6" w:rsidRPr="00D16B79">
        <w:rPr>
          <w:rFonts w:ascii="Times New Roman" w:eastAsia="Cambria" w:hAnsi="Times New Roman"/>
          <w:lang w:val="en-US" w:eastAsia="en-US"/>
        </w:rPr>
        <w:t>.</w:t>
      </w:r>
      <w:r w:rsidR="009F7621" w:rsidRPr="00D16B79">
        <w:rPr>
          <w:rFonts w:ascii="Times New Roman" w:eastAsia="Cambria" w:hAnsi="Times New Roman"/>
          <w:lang w:val="en-US" w:eastAsia="en-US"/>
        </w:rPr>
        <w:t xml:space="preserve"> Future research </w:t>
      </w:r>
      <w:r w:rsidR="00392372" w:rsidRPr="00D16B79">
        <w:rPr>
          <w:rFonts w:ascii="Times New Roman" w:eastAsia="Cambria" w:hAnsi="Times New Roman"/>
          <w:lang w:val="en-US" w:eastAsia="en-US"/>
        </w:rPr>
        <w:t>could</w:t>
      </w:r>
      <w:r w:rsidR="009F7621" w:rsidRPr="00D16B79">
        <w:rPr>
          <w:rFonts w:ascii="Times New Roman" w:eastAsia="Cambria" w:hAnsi="Times New Roman"/>
          <w:lang w:val="en-US" w:eastAsia="en-US"/>
        </w:rPr>
        <w:t xml:space="preserve"> test these possibilities. </w:t>
      </w:r>
    </w:p>
    <w:p w14:paraId="7CD45FD2" w14:textId="4EAACBF5" w:rsidR="008D1A90" w:rsidRPr="00D16B79" w:rsidRDefault="00D3300E" w:rsidP="005A76C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In the current research, we </w:t>
      </w:r>
      <w:r w:rsidR="000D0321" w:rsidRPr="00D16B79">
        <w:rPr>
          <w:rFonts w:ascii="Times New Roman" w:eastAsia="Cambria" w:hAnsi="Times New Roman"/>
          <w:lang w:val="en-US" w:eastAsia="en-US"/>
        </w:rPr>
        <w:t xml:space="preserve">find the closing-the-gap effect </w:t>
      </w:r>
      <w:r w:rsidR="009B61ED" w:rsidRPr="00D16B79">
        <w:rPr>
          <w:rFonts w:ascii="Times New Roman" w:eastAsia="Cambria" w:hAnsi="Times New Roman"/>
          <w:lang w:val="en-US" w:eastAsia="en-US"/>
        </w:rPr>
        <w:t>when evaluating</w:t>
      </w:r>
      <w:r w:rsidR="000D0321" w:rsidRPr="00D16B79">
        <w:rPr>
          <w:rFonts w:ascii="Times New Roman" w:eastAsia="Cambria" w:hAnsi="Times New Roman"/>
          <w:lang w:val="en-US" w:eastAsia="en-US"/>
        </w:rPr>
        <w:t xml:space="preserve"> three projects</w:t>
      </w:r>
      <w:r w:rsidR="009B61ED" w:rsidRPr="00D16B79">
        <w:rPr>
          <w:rFonts w:ascii="Times New Roman" w:eastAsia="Cambria" w:hAnsi="Times New Roman"/>
          <w:lang w:val="en-US" w:eastAsia="en-US"/>
        </w:rPr>
        <w:t xml:space="preserve"> jointly</w:t>
      </w:r>
      <w:r w:rsidR="000D0321" w:rsidRPr="00D16B79">
        <w:rPr>
          <w:rFonts w:ascii="Times New Roman" w:eastAsia="Cambria" w:hAnsi="Times New Roman"/>
          <w:lang w:val="en-US" w:eastAsia="en-US"/>
        </w:rPr>
        <w:t xml:space="preserve"> </w:t>
      </w:r>
      <w:r w:rsidR="009B61ED" w:rsidRPr="00D16B79">
        <w:rPr>
          <w:rFonts w:ascii="Times New Roman" w:eastAsia="Cambria" w:hAnsi="Times New Roman"/>
          <w:lang w:val="en-US" w:eastAsia="en-US"/>
        </w:rPr>
        <w:t xml:space="preserve">with </w:t>
      </w:r>
      <w:r w:rsidR="000D0321" w:rsidRPr="00D16B79">
        <w:rPr>
          <w:rFonts w:ascii="Times New Roman" w:eastAsia="Cambria" w:hAnsi="Times New Roman"/>
          <w:lang w:val="en-US" w:eastAsia="en-US"/>
        </w:rPr>
        <w:t xml:space="preserve">different combinations of progress. </w:t>
      </w:r>
      <w:r w:rsidR="000C4F53" w:rsidRPr="00D16B79">
        <w:rPr>
          <w:rFonts w:ascii="Times New Roman" w:eastAsia="Cambria" w:hAnsi="Times New Roman"/>
          <w:lang w:val="en-US" w:eastAsia="en-US"/>
        </w:rPr>
        <w:t>While previous research shows that</w:t>
      </w:r>
      <w:r w:rsidR="000D0321" w:rsidRPr="00D16B79">
        <w:rPr>
          <w:rFonts w:ascii="Times New Roman" w:eastAsia="Cambria" w:hAnsi="Times New Roman"/>
          <w:lang w:val="en-US" w:eastAsia="en-US"/>
        </w:rPr>
        <w:t xml:space="preserve"> </w:t>
      </w:r>
      <w:r w:rsidR="009B61ED" w:rsidRPr="00D16B79">
        <w:rPr>
          <w:rFonts w:ascii="Times New Roman" w:eastAsia="Cambria" w:hAnsi="Times New Roman"/>
          <w:lang w:val="en-US" w:eastAsia="en-US"/>
        </w:rPr>
        <w:t xml:space="preserve">adding a third project can lead to </w:t>
      </w:r>
      <w:r w:rsidR="000D0321" w:rsidRPr="00D16B79">
        <w:rPr>
          <w:rFonts w:ascii="Times New Roman" w:eastAsia="Cambria" w:hAnsi="Times New Roman"/>
          <w:lang w:val="en-US" w:eastAsia="en-US"/>
        </w:rPr>
        <w:t>compromise effect</w:t>
      </w:r>
      <w:r w:rsidR="009B61ED" w:rsidRPr="00D16B79">
        <w:rPr>
          <w:rFonts w:ascii="Times New Roman" w:eastAsia="Cambria" w:hAnsi="Times New Roman"/>
          <w:lang w:val="en-US" w:eastAsia="en-US"/>
        </w:rPr>
        <w:t xml:space="preserve">s </w:t>
      </w:r>
      <w:r w:rsidR="000C4F53" w:rsidRPr="00D16B79">
        <w:rPr>
          <w:rFonts w:ascii="Times New Roman" w:eastAsia="Cambria" w:hAnsi="Times New Roman"/>
          <w:lang w:val="en-US" w:eastAsia="en-US"/>
        </w:rPr>
        <w:t xml:space="preserve">where preference shifts to the project in the middle </w:t>
      </w:r>
      <w:r w:rsidR="009B61ED"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{"citationID":"HhCbALMM","properties":{"formattedCitation":"(Kivetz, Netzer, and Srinivasan 2004)","plainCitation":"(Kivetz, Netzer, and Srinivasan 2004)","noteIndex":0},"citationItems":[{"id":7798,"uris":["http://zotero.org/users/4606674/items/4B23SUBJ"],"itemData":{"id":7798,"type":"article-journal","abstract":"The compromise effect denotes the finding that brands gain share when they become the intermediate rather than extreme option in a choice set. Despite the robustness and importance of this phenomenon, choice modelers have neglected to incorporate the compromise effect in formal choice models and to test whether such models outperform the standard value maximization model. In this article, the authors suggest four context-dependent choice models that can conceptually capture the compromise effect. Although the models are motivated by theory from economics and behavioral decision research, they differ with respect to the particular mechanism that underlies the compromise effect (e.g., contextual concavity versus loss aversion). Using two empirical applications, the authors (1) contrast the alternative models and show that incorporating the compromise effect by modeling the local choice context leads to superior predictions and fit compared with the traditional value maximization model and a stronger (naive) model that adjusts for possible biases in utility measurement, (2) generalize the compromise effect by demonstrating that it systematically affects choice in larger sets of products and attributes than has been previously shown, (3) show the theoretical and empirical equivalence of loss aversion and local (contextual) concavity and (4) demonstrate the superiority of models that use a single reference point over “tournament models” in which each option serves as a reference point. They discuss the theoretical and practical implications of this research as well as the ability of the proposed models to predict other behavioral context effects.","container-title":"Journal of Marketing Research","DOI":"10.1509/jmkr.41.3.237.35990","ISSN":"0022-2437","issue":"3","language":"en","note":"publisher: SAGE Publications Inc","page":"237-257","source":"SAGE Journals","title":"Alternative Models for Capturing the Compromise Effect","volume":"41","author":[{"family":"Kivetz","given":"Ran"},{"family":"Netzer","given":"Oded"},{"family":"Srinivasan","given":"V."}],"issued":{"date-parts":[["2004",8,1]]}}}],"schema":"https://github.com/citation-style-language/schema/raw/master/csl-citation.json"} </w:instrText>
      </w:r>
      <w:r w:rsidR="009B61ED" w:rsidRPr="00D16B79">
        <w:rPr>
          <w:rFonts w:ascii="Times New Roman" w:eastAsia="Cambria" w:hAnsi="Times New Roman"/>
          <w:lang w:val="en-US" w:eastAsia="en-US"/>
        </w:rPr>
        <w:fldChar w:fldCharType="separate"/>
      </w:r>
      <w:r w:rsidR="009B61ED" w:rsidRPr="00D16B79">
        <w:rPr>
          <w:rFonts w:ascii="Times New Roman" w:hAnsi="Times New Roman"/>
          <w:lang w:val="en-US"/>
        </w:rPr>
        <w:t>(Kivetz, Netzer, and Srinivasan 2004)</w:t>
      </w:r>
      <w:r w:rsidR="009B61ED" w:rsidRPr="00D16B79">
        <w:rPr>
          <w:rFonts w:ascii="Times New Roman" w:eastAsia="Cambria" w:hAnsi="Times New Roman"/>
          <w:lang w:val="en-US" w:eastAsia="en-US"/>
        </w:rPr>
        <w:fldChar w:fldCharType="end"/>
      </w:r>
      <w:r w:rsidR="000C4F53" w:rsidRPr="00D16B79">
        <w:rPr>
          <w:rFonts w:ascii="Times New Roman" w:eastAsia="Cambria" w:hAnsi="Times New Roman"/>
          <w:lang w:val="en-US" w:eastAsia="en-US"/>
        </w:rPr>
        <w:t xml:space="preserve">, </w:t>
      </w:r>
      <w:r w:rsidR="000D0321" w:rsidRPr="00D16B79">
        <w:rPr>
          <w:rFonts w:ascii="Times New Roman" w:eastAsia="Cambria" w:hAnsi="Times New Roman"/>
          <w:lang w:val="en-US" w:eastAsia="en-US"/>
        </w:rPr>
        <w:t xml:space="preserve">goal research has shown that consumers are sometimes least interested in a project when it is in the middle of goal progress </w:t>
      </w:r>
      <w:r w:rsidR="009B61ED" w:rsidRPr="00D16B79">
        <w:rPr>
          <w:rFonts w:ascii="Times New Roman" w:eastAsia="Cambria" w:hAnsi="Times New Roman"/>
          <w:lang w:val="en-US" w:eastAsia="en-US"/>
        </w:rPr>
        <w:fldChar w:fldCharType="begin"/>
      </w:r>
      <w:r w:rsidR="00181321">
        <w:rPr>
          <w:rFonts w:ascii="Times New Roman" w:eastAsia="Cambria" w:hAnsi="Times New Roman"/>
          <w:lang w:val="en-US" w:eastAsia="en-US"/>
        </w:rPr>
        <w:instrText xml:space="preserve"> ADDIN ZOTERO_ITEM CSL_CITATION {"citationID":"eArKP5hR","properties":{"formattedCitation":"(Bonezzi, Brendl, and De Angelis 2011)","plainCitation":"(Bonezzi, Brendl, and De Angelis 2011)","noteIndex":0},"citationItems":[{"id":2324,"uris":["http://zotero.org/users/4606674/items/DNFBZLN7"],"itemData":{"id":2324,"type":"article-journal","abstract":"The classic goal-gradient hypothesis posits that motivation to reach a goal increases monotonically with proximity to the desired end state. However, we argue that this is not always the case. In this article, we show that motivation to engage in goal-consistent behavior can be higher when people are either far from or close to the end state and lower when they are about halfway to the end state. We propose a psychophysical explanation for this tendency to get “stuck in the middle.” Building on the assumption that motivation is influenced by the perceived marginal value of progress toward the goal, we show that the shape of the goal gradient varies depending on whether an individual monitors progress in terms of distance from the initial state or from the desired end state. Our psychophysical model of goal pursuit predicts a previously undiscovered nonmonotonic gradient, as well as two monotonic gradients.","container-title":"Psychological Science","DOI":"10.1177/0956797611404899","ISSN":"0956-7976","issue":"5","journalAbbreviation":"Psychol Sci","language":"en","note":"publisher: SAGE Publications Inc","page":"607-612","source":"SAGE Journals","title":"Stuck in the Middle: The Psychophysics of Goal Pursuit","title-short":"Stuck in the Middle","volume":"22","author":[{"family":"Bonezzi","given":"Andrea"},{"family":"Brendl","given":"C. Miguel"},{"family":"De Angelis","given":"Matteo"}],"issued":{"date-parts":[["2011",5,1]]}}}],"schema":"https://github.com/citation-style-language/schema/raw/master/csl-citation.json"} </w:instrText>
      </w:r>
      <w:r w:rsidR="009B61ED" w:rsidRPr="00D16B79">
        <w:rPr>
          <w:rFonts w:ascii="Times New Roman" w:eastAsia="Cambria" w:hAnsi="Times New Roman"/>
          <w:lang w:val="en-US" w:eastAsia="en-US"/>
        </w:rPr>
        <w:fldChar w:fldCharType="separate"/>
      </w:r>
      <w:r w:rsidR="009B61ED" w:rsidRPr="00D16B79">
        <w:rPr>
          <w:rFonts w:ascii="Times New Roman" w:hAnsi="Times New Roman"/>
          <w:lang w:val="en-US"/>
        </w:rPr>
        <w:t>(Bonezzi, Brendl, and De Angelis 2011)</w:t>
      </w:r>
      <w:r w:rsidR="009B61ED" w:rsidRPr="00D16B79">
        <w:rPr>
          <w:rFonts w:ascii="Times New Roman" w:eastAsia="Cambria" w:hAnsi="Times New Roman"/>
          <w:lang w:val="en-US" w:eastAsia="en-US"/>
        </w:rPr>
        <w:fldChar w:fldCharType="end"/>
      </w:r>
      <w:r w:rsidR="000C4F53" w:rsidRPr="00D16B79">
        <w:rPr>
          <w:rFonts w:ascii="Times New Roman" w:eastAsia="Cambria" w:hAnsi="Times New Roman"/>
          <w:lang w:val="en-US" w:eastAsia="en-US"/>
        </w:rPr>
        <w:t>. Thus,</w:t>
      </w:r>
      <w:r w:rsidR="000D0321" w:rsidRPr="00D16B79">
        <w:rPr>
          <w:rFonts w:ascii="Times New Roman" w:eastAsia="Cambria" w:hAnsi="Times New Roman"/>
          <w:lang w:val="en-US" w:eastAsia="en-US"/>
        </w:rPr>
        <w:t xml:space="preserve"> </w:t>
      </w:r>
      <w:r w:rsidR="000C4F53" w:rsidRPr="00D16B79">
        <w:rPr>
          <w:rFonts w:ascii="Times New Roman" w:eastAsia="Cambria" w:hAnsi="Times New Roman"/>
          <w:lang w:val="en-US" w:eastAsia="en-US"/>
        </w:rPr>
        <w:t>future research could test the circumstances under which adding</w:t>
      </w:r>
      <w:r w:rsidR="000D0321" w:rsidRPr="00D16B79">
        <w:rPr>
          <w:rFonts w:ascii="Times New Roman" w:eastAsia="Cambria" w:hAnsi="Times New Roman"/>
          <w:lang w:val="en-US" w:eastAsia="en-US"/>
        </w:rPr>
        <w:t xml:space="preserve"> </w:t>
      </w:r>
      <w:r w:rsidR="009B61ED" w:rsidRPr="00D16B79">
        <w:rPr>
          <w:rFonts w:ascii="Times New Roman" w:eastAsia="Cambria" w:hAnsi="Times New Roman"/>
          <w:lang w:val="en-US" w:eastAsia="en-US"/>
        </w:rPr>
        <w:t>a third project could</w:t>
      </w:r>
      <w:r w:rsidR="000D0321" w:rsidRPr="00D16B79">
        <w:rPr>
          <w:rFonts w:ascii="Times New Roman" w:eastAsia="Cambria" w:hAnsi="Times New Roman"/>
          <w:lang w:val="en-US" w:eastAsia="en-US"/>
        </w:rPr>
        <w:t xml:space="preserve"> lead to compromise effect</w:t>
      </w:r>
      <w:r w:rsidR="000C4F53" w:rsidRPr="00D16B79">
        <w:rPr>
          <w:rFonts w:ascii="Times New Roman" w:eastAsia="Cambria" w:hAnsi="Times New Roman"/>
          <w:lang w:val="en-US" w:eastAsia="en-US"/>
        </w:rPr>
        <w:t>s</w:t>
      </w:r>
      <w:r w:rsidR="000D0321" w:rsidRPr="00D16B79">
        <w:rPr>
          <w:rFonts w:ascii="Times New Roman" w:eastAsia="Cambria" w:hAnsi="Times New Roman"/>
          <w:lang w:val="en-US" w:eastAsia="en-US"/>
        </w:rPr>
        <w:t xml:space="preserve">. </w:t>
      </w:r>
    </w:p>
    <w:p w14:paraId="6C0BFB03" w14:textId="77777777" w:rsidR="008D1A90" w:rsidRPr="00D16B79" w:rsidRDefault="008D1A90" w:rsidP="008E0178">
      <w:pPr>
        <w:pStyle w:val="Heading2"/>
      </w:pPr>
      <w:r w:rsidRPr="00D16B79">
        <w:lastRenderedPageBreak/>
        <w:t>Practical Implications</w:t>
      </w:r>
    </w:p>
    <w:bookmarkEnd w:id="31"/>
    <w:p w14:paraId="14498C4C" w14:textId="11EB228E" w:rsidR="008D1A90" w:rsidRPr="00D16B79" w:rsidRDefault="008D1A90" w:rsidP="00342786">
      <w:pPr>
        <w:tabs>
          <w:tab w:val="left" w:pos="3060"/>
        </w:tabs>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From a managerial perspective, this work provides guidelines for charitable and non-profit organizations, as well as crowdfunding sites.</w:t>
      </w:r>
      <w:r w:rsidR="00C07E6C" w:rsidRPr="00D16B79">
        <w:rPr>
          <w:rFonts w:ascii="Times New Roman" w:eastAsia="Cambria" w:hAnsi="Times New Roman"/>
          <w:lang w:val="en-US" w:eastAsia="en-US"/>
        </w:rPr>
        <w:t xml:space="preserve"> </w:t>
      </w:r>
      <w:r w:rsidR="00A1011D" w:rsidRPr="00D16B79">
        <w:rPr>
          <w:rFonts w:ascii="Times New Roman" w:eastAsia="Cambria" w:hAnsi="Times New Roman"/>
          <w:lang w:val="en-US" w:eastAsia="en-US"/>
        </w:rPr>
        <w:t xml:space="preserve">Fundraisers should carefully consider </w:t>
      </w:r>
      <w:r w:rsidR="00266212" w:rsidRPr="00D16B79">
        <w:rPr>
          <w:rFonts w:ascii="Times New Roman" w:eastAsia="Cambria" w:hAnsi="Times New Roman"/>
          <w:lang w:val="en-US" w:eastAsia="en-US"/>
        </w:rPr>
        <w:t xml:space="preserve">how </w:t>
      </w:r>
      <w:r w:rsidR="00EE3A46" w:rsidRPr="00D16B79">
        <w:rPr>
          <w:rFonts w:ascii="Times New Roman" w:eastAsia="Cambria" w:hAnsi="Times New Roman"/>
          <w:lang w:val="en-US" w:eastAsia="en-US"/>
        </w:rPr>
        <w:t xml:space="preserve">other projects that consumers encounter simultaneously with </w:t>
      </w:r>
      <w:r w:rsidR="00CF512E" w:rsidRPr="00D16B79">
        <w:rPr>
          <w:rFonts w:ascii="Times New Roman" w:eastAsia="Cambria" w:hAnsi="Times New Roman"/>
          <w:lang w:val="en-US" w:eastAsia="en-US"/>
        </w:rPr>
        <w:t>the focal</w:t>
      </w:r>
      <w:r w:rsidR="00EE3A46" w:rsidRPr="00D16B79">
        <w:rPr>
          <w:rFonts w:ascii="Times New Roman" w:eastAsia="Cambria" w:hAnsi="Times New Roman"/>
          <w:lang w:val="en-US" w:eastAsia="en-US"/>
        </w:rPr>
        <w:t xml:space="preserve"> project </w:t>
      </w:r>
      <w:r w:rsidR="00D50F90" w:rsidRPr="00D16B79">
        <w:rPr>
          <w:rFonts w:ascii="Times New Roman" w:eastAsia="Cambria" w:hAnsi="Times New Roman"/>
          <w:lang w:val="en-US" w:eastAsia="en-US"/>
        </w:rPr>
        <w:t xml:space="preserve">might </w:t>
      </w:r>
      <w:r w:rsidR="00EE3A46" w:rsidRPr="00D16B79">
        <w:rPr>
          <w:rFonts w:ascii="Times New Roman" w:eastAsia="Cambria" w:hAnsi="Times New Roman"/>
          <w:lang w:val="en-US" w:eastAsia="en-US"/>
        </w:rPr>
        <w:t>influence donations</w:t>
      </w:r>
      <w:r w:rsidR="00A1011D">
        <w:rPr>
          <w:rFonts w:ascii="Times New Roman" w:eastAsia="Cambria" w:hAnsi="Times New Roman"/>
          <w:lang w:val="en-US" w:eastAsia="en-US"/>
        </w:rPr>
        <w:t xml:space="preserve"> and </w:t>
      </w:r>
      <w:r w:rsidR="00FB0429" w:rsidRPr="00D16B79">
        <w:rPr>
          <w:rFonts w:ascii="Times New Roman" w:eastAsia="Cambria" w:hAnsi="Times New Roman"/>
          <w:lang w:val="en-US" w:eastAsia="en-US"/>
        </w:rPr>
        <w:t xml:space="preserve">create appeals that perform best when presented next to </w:t>
      </w:r>
      <w:r w:rsidR="00F72799">
        <w:rPr>
          <w:rFonts w:ascii="Times New Roman" w:eastAsia="Cambria" w:hAnsi="Times New Roman"/>
          <w:lang w:val="en-US" w:eastAsia="en-US"/>
        </w:rPr>
        <w:t>these other</w:t>
      </w:r>
      <w:r w:rsidR="00FB0429" w:rsidRPr="00D16B79">
        <w:rPr>
          <w:rFonts w:ascii="Times New Roman" w:eastAsia="Cambria" w:hAnsi="Times New Roman"/>
          <w:lang w:val="en-US" w:eastAsia="en-US"/>
        </w:rPr>
        <w:t xml:space="preserve"> projects.</w:t>
      </w:r>
      <w:r w:rsidR="00342786" w:rsidRPr="00D16B79">
        <w:rPr>
          <w:rFonts w:ascii="Times New Roman" w:eastAsia="Cambria" w:hAnsi="Times New Roman"/>
          <w:lang w:val="en-US" w:eastAsia="en-US"/>
        </w:rPr>
        <w:t xml:space="preserve"> </w:t>
      </w:r>
      <w:r w:rsidRPr="00D16B79">
        <w:rPr>
          <w:rFonts w:ascii="Times New Roman" w:eastAsia="Cambria" w:hAnsi="Times New Roman"/>
          <w:lang w:val="en-US" w:eastAsia="en-US"/>
        </w:rPr>
        <w:t xml:space="preserve">In the case of non-profit organizations, such as charities, governments, social </w:t>
      </w:r>
      <w:r w:rsidR="0024548C" w:rsidRPr="00D16B79">
        <w:rPr>
          <w:rFonts w:ascii="Times New Roman" w:eastAsia="Cambria" w:hAnsi="Times New Roman"/>
          <w:lang w:val="en-US" w:eastAsia="en-US"/>
        </w:rPr>
        <w:t>enterprises</w:t>
      </w:r>
      <w:r w:rsidRPr="00D16B79">
        <w:rPr>
          <w:rFonts w:ascii="Times New Roman" w:eastAsia="Cambria" w:hAnsi="Times New Roman"/>
          <w:lang w:val="en-US" w:eastAsia="en-US"/>
        </w:rPr>
        <w:t>, etc.</w:t>
      </w:r>
      <w:r w:rsidR="008C3D78" w:rsidRPr="00D16B79">
        <w:rPr>
          <w:rFonts w:ascii="Times New Roman" w:eastAsia="Cambria" w:hAnsi="Times New Roman"/>
          <w:lang w:val="en-US" w:eastAsia="en-US"/>
        </w:rPr>
        <w:t>,</w:t>
      </w:r>
      <w:r w:rsidRPr="00D16B79">
        <w:rPr>
          <w:rFonts w:ascii="Times New Roman" w:eastAsia="Cambria" w:hAnsi="Times New Roman"/>
          <w:lang w:val="en-US" w:eastAsia="en-US"/>
        </w:rPr>
        <w:t xml:space="preserve"> trying to raise money</w:t>
      </w:r>
      <w:r w:rsidR="006A0CE6" w:rsidRPr="00D16B79">
        <w:rPr>
          <w:rFonts w:ascii="Times New Roman" w:eastAsia="Cambria" w:hAnsi="Times New Roman"/>
          <w:lang w:val="en-US" w:eastAsia="en-US"/>
        </w:rPr>
        <w:t xml:space="preserve"> for a cause that has low progress</w:t>
      </w:r>
      <w:r w:rsidRPr="00D16B79">
        <w:rPr>
          <w:rFonts w:ascii="Times New Roman" w:eastAsia="Cambria" w:hAnsi="Times New Roman"/>
          <w:lang w:val="en-US" w:eastAsia="en-US"/>
        </w:rPr>
        <w:t xml:space="preserve">, </w:t>
      </w:r>
      <w:r w:rsidR="00A1011D">
        <w:rPr>
          <w:rFonts w:ascii="Times New Roman" w:eastAsia="Cambria" w:hAnsi="Times New Roman"/>
          <w:lang w:val="en-US" w:eastAsia="en-US"/>
        </w:rPr>
        <w:t>our</w:t>
      </w:r>
      <w:r w:rsidRPr="00D16B79">
        <w:rPr>
          <w:rFonts w:ascii="Times New Roman" w:eastAsia="Cambria" w:hAnsi="Times New Roman"/>
          <w:lang w:val="en-US" w:eastAsia="en-US"/>
        </w:rPr>
        <w:t xml:space="preserve"> work suggests they can consider </w:t>
      </w:r>
      <w:r w:rsidR="00D50F90" w:rsidRPr="00D16B79">
        <w:rPr>
          <w:rFonts w:ascii="Times New Roman" w:eastAsia="Cambria" w:hAnsi="Times New Roman"/>
          <w:lang w:val="en-US" w:eastAsia="en-US"/>
        </w:rPr>
        <w:t xml:space="preserve">jointly presenting </w:t>
      </w:r>
      <w:r w:rsidR="006A0CE6" w:rsidRPr="00D16B79">
        <w:rPr>
          <w:rFonts w:ascii="Times New Roman" w:eastAsia="Cambria" w:hAnsi="Times New Roman"/>
          <w:lang w:val="en-US" w:eastAsia="en-US"/>
        </w:rPr>
        <w:t>it with another, more successful</w:t>
      </w:r>
      <w:r w:rsidR="00D50F90" w:rsidRPr="00D16B79">
        <w:rPr>
          <w:rFonts w:ascii="Times New Roman" w:eastAsia="Cambria" w:hAnsi="Times New Roman"/>
          <w:lang w:val="en-US" w:eastAsia="en-US"/>
        </w:rPr>
        <w:t xml:space="preserve"> cause or initiative</w:t>
      </w:r>
      <w:r w:rsidRPr="00D16B79">
        <w:rPr>
          <w:rFonts w:ascii="Times New Roman" w:eastAsia="Cambria" w:hAnsi="Times New Roman"/>
          <w:lang w:val="en-US" w:eastAsia="en-US"/>
        </w:rPr>
        <w:t xml:space="preserve"> </w:t>
      </w:r>
      <w:r w:rsidR="00D50F90" w:rsidRPr="00D16B79">
        <w:rPr>
          <w:rFonts w:ascii="Times New Roman" w:eastAsia="Cambria" w:hAnsi="Times New Roman"/>
          <w:lang w:val="en-US" w:eastAsia="en-US"/>
        </w:rPr>
        <w:t xml:space="preserve">within the organization, rather </w:t>
      </w:r>
      <w:r w:rsidRPr="00D16B79">
        <w:rPr>
          <w:rFonts w:ascii="Times New Roman" w:eastAsia="Cambria" w:hAnsi="Times New Roman"/>
          <w:lang w:val="en-US" w:eastAsia="en-US"/>
        </w:rPr>
        <w:t xml:space="preserve">than </w:t>
      </w:r>
      <w:r w:rsidR="00D50F90" w:rsidRPr="00D16B79">
        <w:rPr>
          <w:rFonts w:ascii="Times New Roman" w:eastAsia="Cambria" w:hAnsi="Times New Roman"/>
          <w:lang w:val="en-US" w:eastAsia="en-US"/>
        </w:rPr>
        <w:t xml:space="preserve">presenting </w:t>
      </w:r>
      <w:r w:rsidR="006A0CE6" w:rsidRPr="00D16B79">
        <w:rPr>
          <w:rFonts w:ascii="Times New Roman" w:eastAsia="Cambria" w:hAnsi="Times New Roman"/>
          <w:lang w:val="en-US" w:eastAsia="en-US"/>
        </w:rPr>
        <w:t>it alone</w:t>
      </w:r>
      <w:r w:rsidRPr="00D16B79">
        <w:rPr>
          <w:rFonts w:ascii="Times New Roman" w:eastAsia="Cambria" w:hAnsi="Times New Roman"/>
          <w:lang w:val="en-US" w:eastAsia="en-US"/>
        </w:rPr>
        <w:t xml:space="preserve">. </w:t>
      </w:r>
      <w:r w:rsidR="009B7A8C" w:rsidRPr="00D16B79">
        <w:rPr>
          <w:rFonts w:ascii="Times New Roman" w:eastAsia="Cambria" w:hAnsi="Times New Roman"/>
          <w:lang w:val="en-US" w:eastAsia="en-US"/>
        </w:rPr>
        <w:t>Such organizations</w:t>
      </w:r>
      <w:r w:rsidR="00E67E15" w:rsidRPr="00D16B79">
        <w:rPr>
          <w:rFonts w:ascii="Times New Roman" w:eastAsia="Cambria" w:hAnsi="Times New Roman"/>
          <w:lang w:val="en-US" w:eastAsia="en-US"/>
        </w:rPr>
        <w:t xml:space="preserve"> can also adjust their strategy</w:t>
      </w:r>
      <w:r w:rsidR="00B656ED" w:rsidRPr="00D16B79">
        <w:rPr>
          <w:rFonts w:ascii="Times New Roman" w:eastAsia="Cambria" w:hAnsi="Times New Roman"/>
          <w:lang w:val="en-US" w:eastAsia="en-US"/>
        </w:rPr>
        <w:t xml:space="preserve"> over time</w:t>
      </w:r>
      <w:r w:rsidR="00E67E15" w:rsidRPr="00D16B79">
        <w:rPr>
          <w:rFonts w:ascii="Times New Roman" w:eastAsia="Cambria" w:hAnsi="Times New Roman"/>
          <w:lang w:val="en-US" w:eastAsia="en-US"/>
        </w:rPr>
        <w:t xml:space="preserve"> based on the </w:t>
      </w:r>
      <w:r w:rsidR="009B7A8C" w:rsidRPr="00D16B79">
        <w:rPr>
          <w:rFonts w:ascii="Times New Roman" w:eastAsia="Cambria" w:hAnsi="Times New Roman"/>
          <w:lang w:val="en-US" w:eastAsia="en-US"/>
        </w:rPr>
        <w:t>project’s progress towards its goal, switching to separate presentation when they are close</w:t>
      </w:r>
      <w:r w:rsidR="00B656ED" w:rsidRPr="00D16B79">
        <w:rPr>
          <w:rFonts w:ascii="Times New Roman" w:eastAsia="Cambria" w:hAnsi="Times New Roman"/>
          <w:lang w:val="en-US" w:eastAsia="en-US"/>
        </w:rPr>
        <w:t>r</w:t>
      </w:r>
      <w:r w:rsidR="009B7A8C" w:rsidRPr="00D16B79">
        <w:rPr>
          <w:rFonts w:ascii="Times New Roman" w:eastAsia="Cambria" w:hAnsi="Times New Roman"/>
          <w:lang w:val="en-US" w:eastAsia="en-US"/>
        </w:rPr>
        <w:t xml:space="preserve"> to reaching their goals.</w:t>
      </w:r>
      <w:r w:rsidR="00E67E15" w:rsidRPr="00D16B79">
        <w:rPr>
          <w:rFonts w:ascii="Times New Roman" w:eastAsia="Cambria" w:hAnsi="Times New Roman"/>
          <w:lang w:val="en-US" w:eastAsia="en-US"/>
        </w:rPr>
        <w:t xml:space="preserve"> </w:t>
      </w:r>
      <w:r w:rsidRPr="00D16B79">
        <w:rPr>
          <w:rFonts w:ascii="Times New Roman" w:eastAsia="Cambria" w:hAnsi="Times New Roman"/>
          <w:lang w:val="en-US" w:eastAsia="en-US"/>
        </w:rPr>
        <w:t xml:space="preserve">This </w:t>
      </w:r>
      <w:r w:rsidR="00342786" w:rsidRPr="00D16B79">
        <w:rPr>
          <w:rFonts w:ascii="Times New Roman" w:eastAsia="Cambria" w:hAnsi="Times New Roman"/>
          <w:lang w:val="en-US" w:eastAsia="en-US"/>
        </w:rPr>
        <w:t>is an easy</w:t>
      </w:r>
      <w:r w:rsidR="00A82B26" w:rsidRPr="00D16B79">
        <w:rPr>
          <w:rFonts w:ascii="Times New Roman" w:eastAsia="Cambria" w:hAnsi="Times New Roman"/>
          <w:lang w:val="en-US" w:eastAsia="en-US"/>
        </w:rPr>
        <w:t>,</w:t>
      </w:r>
      <w:r w:rsidRPr="00D16B79">
        <w:rPr>
          <w:rFonts w:ascii="Times New Roman" w:eastAsia="Cambria" w:hAnsi="Times New Roman"/>
          <w:lang w:val="en-US" w:eastAsia="en-US"/>
        </w:rPr>
        <w:t xml:space="preserve"> </w:t>
      </w:r>
      <w:r w:rsidR="003A00B8" w:rsidRPr="00D16B79">
        <w:rPr>
          <w:rFonts w:ascii="Times New Roman" w:eastAsia="Cambria" w:hAnsi="Times New Roman"/>
          <w:lang w:val="en-US" w:eastAsia="en-US"/>
        </w:rPr>
        <w:t>cost-effective</w:t>
      </w:r>
      <w:r w:rsidR="00342786" w:rsidRPr="00D16B79">
        <w:rPr>
          <w:rFonts w:ascii="Times New Roman" w:eastAsia="Cambria" w:hAnsi="Times New Roman"/>
          <w:lang w:val="en-US" w:eastAsia="en-US"/>
        </w:rPr>
        <w:t xml:space="preserve"> strategy that can be</w:t>
      </w:r>
      <w:r w:rsidRPr="00D16B79">
        <w:rPr>
          <w:rFonts w:ascii="Times New Roman" w:eastAsia="Cambria" w:hAnsi="Times New Roman"/>
          <w:lang w:val="en-US" w:eastAsia="en-US"/>
        </w:rPr>
        <w:t xml:space="preserve"> </w:t>
      </w:r>
      <w:r w:rsidR="00CC1D6B">
        <w:rPr>
          <w:rFonts w:ascii="Times New Roman" w:eastAsia="Cambria" w:hAnsi="Times New Roman"/>
          <w:lang w:val="en-US" w:eastAsia="en-US"/>
        </w:rPr>
        <w:t>implemented</w:t>
      </w:r>
      <w:r w:rsidR="00CC1D6B" w:rsidRPr="00D16B79">
        <w:rPr>
          <w:rFonts w:ascii="Times New Roman" w:eastAsia="Cambria" w:hAnsi="Times New Roman"/>
          <w:lang w:val="en-US" w:eastAsia="en-US"/>
        </w:rPr>
        <w:t xml:space="preserve"> </w:t>
      </w:r>
      <w:r w:rsidRPr="00D16B79">
        <w:rPr>
          <w:rFonts w:ascii="Times New Roman" w:eastAsia="Cambria" w:hAnsi="Times New Roman"/>
          <w:lang w:val="en-US" w:eastAsia="en-US"/>
        </w:rPr>
        <w:t xml:space="preserve">using </w:t>
      </w:r>
      <w:r w:rsidR="00342786" w:rsidRPr="00D16B79">
        <w:rPr>
          <w:rFonts w:ascii="Times New Roman" w:eastAsia="Cambria" w:hAnsi="Times New Roman"/>
          <w:lang w:val="en-US" w:eastAsia="en-US"/>
        </w:rPr>
        <w:t>the organization’s</w:t>
      </w:r>
      <w:r w:rsidRPr="00D16B79">
        <w:rPr>
          <w:rFonts w:ascii="Times New Roman" w:eastAsia="Cambria" w:hAnsi="Times New Roman"/>
          <w:lang w:val="en-US" w:eastAsia="en-US"/>
        </w:rPr>
        <w:t xml:space="preserve"> existing interface or with promotional campaigns </w:t>
      </w:r>
      <w:r w:rsidR="00D50F90" w:rsidRPr="00D16B79">
        <w:rPr>
          <w:rFonts w:ascii="Times New Roman" w:eastAsia="Cambria" w:hAnsi="Times New Roman"/>
          <w:lang w:val="en-US" w:eastAsia="en-US"/>
        </w:rPr>
        <w:t xml:space="preserve">via </w:t>
      </w:r>
      <w:r w:rsidRPr="00D16B79">
        <w:rPr>
          <w:rFonts w:ascii="Times New Roman" w:eastAsia="Cambria" w:hAnsi="Times New Roman"/>
          <w:lang w:val="en-US" w:eastAsia="en-US"/>
        </w:rPr>
        <w:t>email or social media.</w:t>
      </w:r>
    </w:p>
    <w:p w14:paraId="4893CA42" w14:textId="6FC25BA1" w:rsidR="00C6328F" w:rsidRPr="00D16B79" w:rsidRDefault="0024548C" w:rsidP="008D1A90">
      <w:pPr>
        <w:spacing w:line="480" w:lineRule="auto"/>
        <w:ind w:firstLine="720"/>
        <w:rPr>
          <w:rFonts w:ascii="Times New Roman" w:eastAsia="Cambria" w:hAnsi="Times New Roman"/>
          <w:lang w:val="en-US" w:eastAsia="en-US"/>
        </w:rPr>
      </w:pPr>
      <w:r w:rsidRPr="00D16B79">
        <w:rPr>
          <w:rFonts w:ascii="Times New Roman" w:eastAsia="Cambria" w:hAnsi="Times New Roman"/>
          <w:lang w:val="en-US" w:eastAsia="en-US"/>
        </w:rPr>
        <w:t xml:space="preserve">Organizations </w:t>
      </w:r>
      <w:r w:rsidR="003066AD" w:rsidRPr="00D16B79">
        <w:rPr>
          <w:rFonts w:ascii="Times New Roman" w:eastAsia="Cambria" w:hAnsi="Times New Roman"/>
          <w:lang w:val="en-US" w:eastAsia="en-US"/>
        </w:rPr>
        <w:t xml:space="preserve">can </w:t>
      </w:r>
      <w:r w:rsidR="000C3964" w:rsidRPr="00D16B79">
        <w:rPr>
          <w:rFonts w:ascii="Times New Roman" w:eastAsia="Cambria" w:hAnsi="Times New Roman"/>
          <w:lang w:val="en-US" w:eastAsia="en-US"/>
        </w:rPr>
        <w:t xml:space="preserve">also </w:t>
      </w:r>
      <w:r w:rsidR="003066AD" w:rsidRPr="00D16B79">
        <w:rPr>
          <w:rFonts w:ascii="Times New Roman" w:eastAsia="Cambria" w:hAnsi="Times New Roman"/>
          <w:lang w:val="en-US" w:eastAsia="en-US"/>
        </w:rPr>
        <w:t>tailor their crowdfunding pitches to their fundraising</w:t>
      </w:r>
      <w:r w:rsidR="00FE101D">
        <w:rPr>
          <w:rFonts w:ascii="Times New Roman" w:eastAsia="Cambria" w:hAnsi="Times New Roman"/>
          <w:lang w:val="en-US" w:eastAsia="en-US"/>
        </w:rPr>
        <w:t xml:space="preserve"> stage</w:t>
      </w:r>
      <w:r w:rsidR="003066AD" w:rsidRPr="00D16B79">
        <w:rPr>
          <w:rFonts w:ascii="Times New Roman" w:eastAsia="Cambria" w:hAnsi="Times New Roman"/>
          <w:lang w:val="en-US" w:eastAsia="en-US"/>
        </w:rPr>
        <w:t>; in initial stages when they are farther from their goal they can consider highlight</w:t>
      </w:r>
      <w:r w:rsidR="000C3964" w:rsidRPr="00D16B79">
        <w:rPr>
          <w:rFonts w:ascii="Times New Roman" w:eastAsia="Cambria" w:hAnsi="Times New Roman"/>
          <w:lang w:val="en-US" w:eastAsia="en-US"/>
        </w:rPr>
        <w:t>ing</w:t>
      </w:r>
      <w:r w:rsidR="003066AD" w:rsidRPr="00D16B79">
        <w:rPr>
          <w:rFonts w:ascii="Times New Roman" w:eastAsia="Cambria" w:hAnsi="Times New Roman"/>
          <w:lang w:val="en-US" w:eastAsia="en-US"/>
        </w:rPr>
        <w:t xml:space="preserve"> the more prosocial aspects of their organization</w:t>
      </w:r>
      <w:r w:rsidR="00A82B26" w:rsidRPr="00D16B79">
        <w:rPr>
          <w:rFonts w:ascii="Times New Roman" w:eastAsia="Cambria" w:hAnsi="Times New Roman"/>
          <w:lang w:val="en-US" w:eastAsia="en-US"/>
        </w:rPr>
        <w:t>,</w:t>
      </w:r>
      <w:r w:rsidR="003066AD" w:rsidRPr="00D16B79">
        <w:rPr>
          <w:rFonts w:ascii="Times New Roman" w:eastAsia="Cambria" w:hAnsi="Times New Roman"/>
          <w:lang w:val="en-US" w:eastAsia="en-US"/>
        </w:rPr>
        <w:t xml:space="preserve"> and when they are closer to their goal they can </w:t>
      </w:r>
      <w:r w:rsidR="000C3964" w:rsidRPr="00D16B79">
        <w:rPr>
          <w:rFonts w:ascii="Times New Roman" w:eastAsia="Cambria" w:hAnsi="Times New Roman"/>
          <w:lang w:val="en-US" w:eastAsia="en-US"/>
        </w:rPr>
        <w:t>focus on</w:t>
      </w:r>
      <w:r w:rsidR="003066AD" w:rsidRPr="00D16B79">
        <w:rPr>
          <w:rFonts w:ascii="Times New Roman" w:eastAsia="Cambria" w:hAnsi="Times New Roman"/>
          <w:lang w:val="en-US" w:eastAsia="en-US"/>
        </w:rPr>
        <w:t xml:space="preserve"> the</w:t>
      </w:r>
      <w:r w:rsidR="00063E60" w:rsidRPr="00D16B79">
        <w:rPr>
          <w:rFonts w:ascii="Times New Roman" w:eastAsia="Cambria" w:hAnsi="Times New Roman"/>
          <w:lang w:val="en-US" w:eastAsia="en-US"/>
        </w:rPr>
        <w:t xml:space="preserve"> </w:t>
      </w:r>
      <w:r w:rsidR="00FE101D">
        <w:rPr>
          <w:rFonts w:ascii="Times New Roman" w:eastAsia="Cambria" w:hAnsi="Times New Roman"/>
          <w:lang w:val="en-US" w:eastAsia="en-US"/>
        </w:rPr>
        <w:t xml:space="preserve">profit-driven </w:t>
      </w:r>
      <w:r w:rsidR="003066AD" w:rsidRPr="00D16B79">
        <w:rPr>
          <w:rFonts w:ascii="Times New Roman" w:eastAsia="Cambria" w:hAnsi="Times New Roman"/>
          <w:lang w:val="en-US" w:eastAsia="en-US"/>
        </w:rPr>
        <w:t>business</w:t>
      </w:r>
      <w:r w:rsidR="00063E60" w:rsidRPr="00D16B79">
        <w:rPr>
          <w:rFonts w:ascii="Times New Roman" w:eastAsia="Cambria" w:hAnsi="Times New Roman"/>
          <w:lang w:val="en-US" w:eastAsia="en-US"/>
        </w:rPr>
        <w:t xml:space="preserve"> </w:t>
      </w:r>
      <w:r w:rsidR="003066AD" w:rsidRPr="00D16B79">
        <w:rPr>
          <w:rFonts w:ascii="Times New Roman" w:eastAsia="Cambria" w:hAnsi="Times New Roman"/>
          <w:lang w:val="en-US" w:eastAsia="en-US"/>
        </w:rPr>
        <w:t>aspects of the project.</w:t>
      </w:r>
      <w:r w:rsidR="000C3964" w:rsidRPr="00D16B79">
        <w:rPr>
          <w:rFonts w:ascii="Times New Roman" w:eastAsia="Cambria" w:hAnsi="Times New Roman"/>
          <w:lang w:val="en-US" w:eastAsia="en-US"/>
        </w:rPr>
        <w:t xml:space="preserve"> </w:t>
      </w:r>
      <w:r w:rsidR="00C07E6C" w:rsidRPr="00D16B79">
        <w:rPr>
          <w:rFonts w:ascii="Times New Roman" w:eastAsia="Cambria" w:hAnsi="Times New Roman"/>
          <w:lang w:val="en-US" w:eastAsia="en-US"/>
        </w:rPr>
        <w:t>C</w:t>
      </w:r>
      <w:r w:rsidR="008D1A90" w:rsidRPr="00D16B79">
        <w:rPr>
          <w:rFonts w:ascii="Times New Roman" w:eastAsia="Cambria" w:hAnsi="Times New Roman"/>
          <w:lang w:val="en-US" w:eastAsia="en-US"/>
        </w:rPr>
        <w:t xml:space="preserve">rowdfunding sites can </w:t>
      </w:r>
      <w:r w:rsidR="005F608D" w:rsidRPr="00D16B79">
        <w:rPr>
          <w:rFonts w:ascii="Times New Roman" w:eastAsia="Cambria" w:hAnsi="Times New Roman"/>
          <w:lang w:val="en-US" w:eastAsia="en-US"/>
        </w:rPr>
        <w:t xml:space="preserve">use </w:t>
      </w:r>
      <w:r w:rsidR="00D50F90" w:rsidRPr="00D16B79">
        <w:rPr>
          <w:rFonts w:ascii="Times New Roman" w:eastAsia="Cambria" w:hAnsi="Times New Roman"/>
          <w:lang w:val="en-US" w:eastAsia="en-US"/>
        </w:rPr>
        <w:t xml:space="preserve">insights gleaned from this </w:t>
      </w:r>
      <w:r w:rsidR="005F608D" w:rsidRPr="00D16B79">
        <w:rPr>
          <w:rFonts w:ascii="Times New Roman" w:eastAsia="Cambria" w:hAnsi="Times New Roman"/>
          <w:lang w:val="en-US" w:eastAsia="en-US"/>
        </w:rPr>
        <w:t xml:space="preserve">research to </w:t>
      </w:r>
      <w:r w:rsidR="008D1A90" w:rsidRPr="00D16B79">
        <w:rPr>
          <w:rFonts w:ascii="Times New Roman" w:eastAsia="Cambria" w:hAnsi="Times New Roman"/>
          <w:lang w:val="en-US" w:eastAsia="en-US"/>
        </w:rPr>
        <w:t xml:space="preserve">more carefully consider how </w:t>
      </w:r>
      <w:r w:rsidR="00FE101D">
        <w:rPr>
          <w:rFonts w:ascii="Times New Roman" w:eastAsia="Cambria" w:hAnsi="Times New Roman"/>
          <w:lang w:val="en-US" w:eastAsia="en-US"/>
        </w:rPr>
        <w:t>information</w:t>
      </w:r>
      <w:r w:rsidR="004B5A6D" w:rsidRPr="00D16B79">
        <w:rPr>
          <w:rFonts w:ascii="Times New Roman" w:eastAsia="Cambria" w:hAnsi="Times New Roman"/>
          <w:lang w:val="en-US" w:eastAsia="en-US"/>
        </w:rPr>
        <w:t xml:space="preserve"> </w:t>
      </w:r>
      <w:r w:rsidR="008D1A90" w:rsidRPr="00D16B79">
        <w:rPr>
          <w:rFonts w:ascii="Times New Roman" w:eastAsia="Cambria" w:hAnsi="Times New Roman"/>
          <w:lang w:val="en-US" w:eastAsia="en-US"/>
        </w:rPr>
        <w:t>present</w:t>
      </w:r>
      <w:r w:rsidR="004B5A6D" w:rsidRPr="00D16B79">
        <w:rPr>
          <w:rFonts w:ascii="Times New Roman" w:eastAsia="Cambria" w:hAnsi="Times New Roman"/>
          <w:lang w:val="en-US" w:eastAsia="en-US"/>
        </w:rPr>
        <w:t>ation</w:t>
      </w:r>
      <w:r w:rsidR="008D1A90" w:rsidRPr="00D16B79">
        <w:rPr>
          <w:rFonts w:ascii="Times New Roman" w:eastAsia="Cambria" w:hAnsi="Times New Roman"/>
          <w:lang w:val="en-US" w:eastAsia="en-US"/>
        </w:rPr>
        <w:t xml:space="preserve"> </w:t>
      </w:r>
      <w:r w:rsidR="00FE101D">
        <w:rPr>
          <w:rFonts w:ascii="Times New Roman" w:eastAsia="Cambria" w:hAnsi="Times New Roman"/>
          <w:lang w:val="en-US" w:eastAsia="en-US"/>
        </w:rPr>
        <w:t>ca</w:t>
      </w:r>
      <w:r w:rsidR="004B5A6D" w:rsidRPr="00D16B79">
        <w:rPr>
          <w:rFonts w:ascii="Times New Roman" w:eastAsia="Cambria" w:hAnsi="Times New Roman"/>
          <w:lang w:val="en-US" w:eastAsia="en-US"/>
        </w:rPr>
        <w:t>n impact outcomes</w:t>
      </w:r>
      <w:r w:rsidR="008D1A90" w:rsidRPr="00D16B79">
        <w:rPr>
          <w:rFonts w:ascii="Times New Roman" w:eastAsia="Cambria" w:hAnsi="Times New Roman"/>
          <w:lang w:val="en-US" w:eastAsia="en-US"/>
        </w:rPr>
        <w:t>. Many crowdfunding sites, including Kiva, use an algorithm that rewards projects that receive funds by moving them higher up in the search</w:t>
      </w:r>
      <w:r w:rsidR="00536859" w:rsidRPr="00D16B79">
        <w:rPr>
          <w:rFonts w:ascii="Times New Roman" w:eastAsia="Cambria" w:hAnsi="Times New Roman"/>
          <w:lang w:val="en-US" w:eastAsia="en-US"/>
        </w:rPr>
        <w:t>-</w:t>
      </w:r>
      <w:r w:rsidR="008D1A90" w:rsidRPr="00D16B79">
        <w:rPr>
          <w:rFonts w:ascii="Times New Roman" w:eastAsia="Cambria" w:hAnsi="Times New Roman"/>
          <w:lang w:val="en-US" w:eastAsia="en-US"/>
        </w:rPr>
        <w:t xml:space="preserve">order rankings. </w:t>
      </w:r>
      <w:r w:rsidR="00FE0C62" w:rsidRPr="00D16B79">
        <w:rPr>
          <w:rFonts w:ascii="Times New Roman" w:eastAsia="Cambria" w:hAnsi="Times New Roman"/>
          <w:lang w:val="en-US" w:eastAsia="en-US"/>
        </w:rPr>
        <w:t>Our findings suggest that c</w:t>
      </w:r>
      <w:r w:rsidR="008D1A90" w:rsidRPr="00D16B79">
        <w:rPr>
          <w:rFonts w:ascii="Times New Roman" w:eastAsia="Cambria" w:hAnsi="Times New Roman"/>
          <w:lang w:val="en-US" w:eastAsia="en-US"/>
        </w:rPr>
        <w:t xml:space="preserve">rowdfunding sites can </w:t>
      </w:r>
      <w:r w:rsidR="00FE101D">
        <w:rPr>
          <w:rFonts w:ascii="Times New Roman" w:eastAsia="Cambria" w:hAnsi="Times New Roman"/>
          <w:lang w:val="en-US" w:eastAsia="en-US"/>
        </w:rPr>
        <w:t>adjust their algorithms to</w:t>
      </w:r>
      <w:r w:rsidR="00FE0C62" w:rsidRPr="00D16B79">
        <w:rPr>
          <w:rFonts w:ascii="Times New Roman" w:eastAsia="Cambria" w:hAnsi="Times New Roman"/>
          <w:lang w:val="en-US" w:eastAsia="en-US"/>
        </w:rPr>
        <w:t xml:space="preserve"> </w:t>
      </w:r>
      <w:r w:rsidR="008D1A90" w:rsidRPr="00D16B79">
        <w:rPr>
          <w:rFonts w:ascii="Times New Roman" w:eastAsia="Cambria" w:hAnsi="Times New Roman"/>
          <w:lang w:val="en-US" w:eastAsia="en-US"/>
        </w:rPr>
        <w:t xml:space="preserve">present </w:t>
      </w:r>
      <w:r w:rsidR="00CD5578" w:rsidRPr="00D16B79">
        <w:rPr>
          <w:rFonts w:ascii="Times New Roman" w:eastAsia="Cambria" w:hAnsi="Times New Roman"/>
          <w:lang w:val="en-US" w:eastAsia="en-US"/>
        </w:rPr>
        <w:t>projects</w:t>
      </w:r>
      <w:r w:rsidR="003066AD" w:rsidRPr="00D16B79">
        <w:rPr>
          <w:rFonts w:ascii="Times New Roman" w:eastAsia="Cambria" w:hAnsi="Times New Roman"/>
          <w:lang w:val="en-US" w:eastAsia="en-US"/>
        </w:rPr>
        <w:t xml:space="preserve"> farther from their goals</w:t>
      </w:r>
      <w:r w:rsidR="008D1A90" w:rsidRPr="00D16B79">
        <w:rPr>
          <w:rFonts w:ascii="Times New Roman" w:eastAsia="Cambria" w:hAnsi="Times New Roman"/>
          <w:lang w:val="en-US" w:eastAsia="en-US"/>
        </w:rPr>
        <w:t xml:space="preserve"> with </w:t>
      </w:r>
      <w:r w:rsidR="00CD5578" w:rsidRPr="00D16B79">
        <w:rPr>
          <w:rFonts w:ascii="Times New Roman" w:eastAsia="Cambria" w:hAnsi="Times New Roman"/>
          <w:lang w:val="en-US" w:eastAsia="en-US"/>
        </w:rPr>
        <w:t>ones</w:t>
      </w:r>
      <w:r w:rsidR="008D1A90" w:rsidRPr="00D16B79">
        <w:rPr>
          <w:rFonts w:ascii="Times New Roman" w:eastAsia="Cambria" w:hAnsi="Times New Roman"/>
          <w:lang w:val="en-US" w:eastAsia="en-US"/>
        </w:rPr>
        <w:t xml:space="preserve"> that are closer to their goals</w:t>
      </w:r>
      <w:r w:rsidR="00FE101D">
        <w:rPr>
          <w:rFonts w:ascii="Times New Roman" w:eastAsia="Cambria" w:hAnsi="Times New Roman"/>
          <w:lang w:val="en-US" w:eastAsia="en-US"/>
        </w:rPr>
        <w:t xml:space="preserve"> to </w:t>
      </w:r>
      <w:r w:rsidR="00FE101D" w:rsidRPr="00D16B79">
        <w:rPr>
          <w:rFonts w:ascii="Times New Roman" w:eastAsia="Cambria" w:hAnsi="Times New Roman"/>
          <w:lang w:val="en-US" w:eastAsia="en-US"/>
        </w:rPr>
        <w:t>help direct funds to the projects that need it the most</w:t>
      </w:r>
      <w:r w:rsidR="00FE101D">
        <w:rPr>
          <w:rFonts w:ascii="Times New Roman" w:eastAsia="Cambria" w:hAnsi="Times New Roman"/>
          <w:lang w:val="en-US" w:eastAsia="en-US"/>
        </w:rPr>
        <w:t>.</w:t>
      </w:r>
      <w:r w:rsidR="008D1A90" w:rsidRPr="00D16B79">
        <w:rPr>
          <w:rFonts w:ascii="Times New Roman" w:eastAsia="Cambria" w:hAnsi="Times New Roman"/>
          <w:lang w:val="en-US" w:eastAsia="en-US"/>
        </w:rPr>
        <w:t xml:space="preserve"> </w:t>
      </w:r>
    </w:p>
    <w:p w14:paraId="3F66C989" w14:textId="1C6F2E7A" w:rsidR="00BF3576" w:rsidRPr="00D16B79" w:rsidRDefault="008D3CEE" w:rsidP="00AA7347">
      <w:pPr>
        <w:spacing w:line="480" w:lineRule="auto"/>
        <w:ind w:firstLine="720"/>
        <w:rPr>
          <w:rFonts w:asciiTheme="majorHAnsi" w:eastAsiaTheme="majorEastAsia" w:hAnsiTheme="majorHAnsi" w:cstheme="majorBidi"/>
          <w:b/>
          <w:bCs/>
          <w:i/>
          <w:iCs/>
          <w:caps/>
          <w:kern w:val="32"/>
          <w:lang w:val="en-US"/>
        </w:rPr>
      </w:pPr>
      <w:r w:rsidRPr="00D16B79">
        <w:rPr>
          <w:rFonts w:ascii="Times New Roman" w:eastAsia="Cambria" w:hAnsi="Times New Roman"/>
          <w:lang w:val="en-US" w:eastAsia="en-US"/>
        </w:rPr>
        <w:t>The present research</w:t>
      </w:r>
      <w:r w:rsidR="00157A22" w:rsidRPr="00D16B79">
        <w:rPr>
          <w:rFonts w:ascii="Times New Roman" w:eastAsia="Cambria" w:hAnsi="Times New Roman"/>
          <w:lang w:val="en-US" w:eastAsia="en-US"/>
        </w:rPr>
        <w:t xml:space="preserve"> </w:t>
      </w:r>
      <w:r w:rsidR="00536859" w:rsidRPr="00D16B79">
        <w:rPr>
          <w:rFonts w:ascii="Times New Roman" w:eastAsia="Cambria" w:hAnsi="Times New Roman"/>
          <w:lang w:val="en-US" w:eastAsia="en-US"/>
        </w:rPr>
        <w:t>offer</w:t>
      </w:r>
      <w:r w:rsidR="00995451" w:rsidRPr="00D16B79">
        <w:rPr>
          <w:rFonts w:ascii="Times New Roman" w:eastAsia="Cambria" w:hAnsi="Times New Roman"/>
          <w:lang w:val="en-US" w:eastAsia="en-US"/>
        </w:rPr>
        <w:t>s</w:t>
      </w:r>
      <w:r w:rsidR="00157A22" w:rsidRPr="00D16B79">
        <w:rPr>
          <w:rFonts w:ascii="Times New Roman" w:eastAsia="Cambria" w:hAnsi="Times New Roman"/>
          <w:lang w:val="en-US" w:eastAsia="en-US"/>
        </w:rPr>
        <w:t xml:space="preserve"> a robust and easy</w:t>
      </w:r>
      <w:r w:rsidR="00536859" w:rsidRPr="00D16B79">
        <w:rPr>
          <w:rFonts w:ascii="Times New Roman" w:eastAsia="Cambria" w:hAnsi="Times New Roman"/>
          <w:lang w:val="en-US" w:eastAsia="en-US"/>
        </w:rPr>
        <w:t>-</w:t>
      </w:r>
      <w:r w:rsidR="00157A22" w:rsidRPr="00D16B79">
        <w:rPr>
          <w:rFonts w:ascii="Times New Roman" w:eastAsia="Cambria" w:hAnsi="Times New Roman"/>
          <w:lang w:val="en-US" w:eastAsia="en-US"/>
        </w:rPr>
        <w:t>to</w:t>
      </w:r>
      <w:r w:rsidR="00536859" w:rsidRPr="00D16B79">
        <w:rPr>
          <w:rFonts w:ascii="Times New Roman" w:eastAsia="Cambria" w:hAnsi="Times New Roman"/>
          <w:lang w:val="en-US" w:eastAsia="en-US"/>
        </w:rPr>
        <w:t>-</w:t>
      </w:r>
      <w:r w:rsidR="00157A22" w:rsidRPr="00D16B79">
        <w:rPr>
          <w:rFonts w:ascii="Times New Roman" w:eastAsia="Cambria" w:hAnsi="Times New Roman"/>
          <w:lang w:val="en-US" w:eastAsia="en-US"/>
        </w:rPr>
        <w:t xml:space="preserve">implement </w:t>
      </w:r>
      <w:r w:rsidR="00AD5383" w:rsidRPr="00D16B79">
        <w:rPr>
          <w:rFonts w:ascii="Times New Roman" w:eastAsia="Cambria" w:hAnsi="Times New Roman"/>
          <w:lang w:val="en-US" w:eastAsia="en-US"/>
        </w:rPr>
        <w:t>strategy</w:t>
      </w:r>
      <w:r w:rsidR="00157A22" w:rsidRPr="00D16B79">
        <w:rPr>
          <w:rFonts w:ascii="Times New Roman" w:eastAsia="Cambria" w:hAnsi="Times New Roman"/>
          <w:lang w:val="en-US" w:eastAsia="en-US"/>
        </w:rPr>
        <w:t xml:space="preserve"> for </w:t>
      </w:r>
      <w:r w:rsidR="00BD2B61" w:rsidRPr="00D16B79">
        <w:rPr>
          <w:rFonts w:ascii="Times New Roman" w:eastAsia="Cambria" w:hAnsi="Times New Roman"/>
          <w:lang w:val="en-US" w:eastAsia="en-US"/>
        </w:rPr>
        <w:t>individuals and organizations to shift donations towards a charit</w:t>
      </w:r>
      <w:r w:rsidR="00D50F90" w:rsidRPr="00D16B79">
        <w:rPr>
          <w:rFonts w:ascii="Times New Roman" w:eastAsia="Cambria" w:hAnsi="Times New Roman"/>
          <w:lang w:val="en-US" w:eastAsia="en-US"/>
        </w:rPr>
        <w:t>able cause</w:t>
      </w:r>
      <w:r w:rsidR="00BD2B61" w:rsidRPr="00D16B79">
        <w:rPr>
          <w:rFonts w:ascii="Times New Roman" w:eastAsia="Cambria" w:hAnsi="Times New Roman"/>
          <w:lang w:val="en-US" w:eastAsia="en-US"/>
        </w:rPr>
        <w:t xml:space="preserve"> that has made </w:t>
      </w:r>
      <w:r w:rsidR="00D50F90" w:rsidRPr="00D16B79">
        <w:rPr>
          <w:rFonts w:ascii="Times New Roman" w:eastAsia="Cambria" w:hAnsi="Times New Roman"/>
          <w:lang w:val="en-US" w:eastAsia="en-US"/>
        </w:rPr>
        <w:t xml:space="preserve">relatively </w:t>
      </w:r>
      <w:r w:rsidR="00BD2B61" w:rsidRPr="00D16B79">
        <w:rPr>
          <w:rFonts w:ascii="Times New Roman" w:eastAsia="Cambria" w:hAnsi="Times New Roman"/>
          <w:lang w:val="en-US" w:eastAsia="en-US"/>
        </w:rPr>
        <w:t xml:space="preserve">little goal </w:t>
      </w:r>
      <w:r w:rsidR="00BD2B61" w:rsidRPr="00D16B79">
        <w:rPr>
          <w:rFonts w:ascii="Times New Roman" w:eastAsia="Cambria" w:hAnsi="Times New Roman"/>
          <w:lang w:val="en-US" w:eastAsia="en-US"/>
        </w:rPr>
        <w:lastRenderedPageBreak/>
        <w:t xml:space="preserve">progress. We demonstrate that this occurs in </w:t>
      </w:r>
      <w:r w:rsidR="00D50F90" w:rsidRPr="00D16B79">
        <w:rPr>
          <w:rFonts w:ascii="Times New Roman" w:eastAsia="Cambria" w:hAnsi="Times New Roman"/>
          <w:lang w:val="en-US" w:eastAsia="en-US"/>
        </w:rPr>
        <w:t xml:space="preserve">prosocial </w:t>
      </w:r>
      <w:r w:rsidR="00BD2B61" w:rsidRPr="00D16B79">
        <w:rPr>
          <w:rFonts w:ascii="Times New Roman" w:eastAsia="Cambria" w:hAnsi="Times New Roman"/>
          <w:lang w:val="en-US" w:eastAsia="en-US"/>
        </w:rPr>
        <w:t>contexts like char</w:t>
      </w:r>
      <w:r w:rsidR="00BA1E25" w:rsidRPr="00D16B79">
        <w:rPr>
          <w:rFonts w:ascii="Times New Roman" w:eastAsia="Cambria" w:hAnsi="Times New Roman"/>
          <w:lang w:val="en-US" w:eastAsia="en-US"/>
        </w:rPr>
        <w:t>itable giving and when projects are presented jointly. In doing so</w:t>
      </w:r>
      <w:r w:rsidR="00D50F90" w:rsidRPr="00D16B79">
        <w:rPr>
          <w:rFonts w:ascii="Times New Roman" w:eastAsia="Cambria" w:hAnsi="Times New Roman"/>
          <w:lang w:val="en-US" w:eastAsia="en-US"/>
        </w:rPr>
        <w:t>,</w:t>
      </w:r>
      <w:r w:rsidR="00BA1E25" w:rsidRPr="00D16B79">
        <w:rPr>
          <w:rFonts w:ascii="Times New Roman" w:eastAsia="Cambria" w:hAnsi="Times New Roman"/>
          <w:lang w:val="en-US" w:eastAsia="en-US"/>
        </w:rPr>
        <w:t xml:space="preserve"> we </w:t>
      </w:r>
      <w:r w:rsidR="00A71DAA" w:rsidRPr="00D16B79">
        <w:rPr>
          <w:rFonts w:ascii="Times New Roman" w:eastAsia="Cambria" w:hAnsi="Times New Roman"/>
          <w:lang w:val="en-US" w:eastAsia="en-US"/>
        </w:rPr>
        <w:t xml:space="preserve">provide both practitioners and academics with better insight into how consumers make decisions when donating and </w:t>
      </w:r>
      <w:r w:rsidR="00BA1E25" w:rsidRPr="00D16B79">
        <w:rPr>
          <w:rFonts w:ascii="Times New Roman" w:eastAsia="Cambria" w:hAnsi="Times New Roman"/>
          <w:lang w:val="en-US" w:eastAsia="en-US"/>
        </w:rPr>
        <w:t xml:space="preserve">contribute to the literature on goal </w:t>
      </w:r>
      <w:r w:rsidR="00AA1951" w:rsidRPr="00D16B79">
        <w:rPr>
          <w:rFonts w:ascii="Times New Roman" w:eastAsia="Cambria" w:hAnsi="Times New Roman"/>
          <w:lang w:val="en-US" w:eastAsia="en-US"/>
        </w:rPr>
        <w:t>progress</w:t>
      </w:r>
      <w:r w:rsidR="00BA1E25" w:rsidRPr="00D16B79">
        <w:rPr>
          <w:rFonts w:ascii="Times New Roman" w:eastAsia="Cambria" w:hAnsi="Times New Roman"/>
          <w:lang w:val="en-US" w:eastAsia="en-US"/>
        </w:rPr>
        <w:t>,</w:t>
      </w:r>
      <w:r w:rsidR="001D1512" w:rsidRPr="00D16B79">
        <w:rPr>
          <w:rFonts w:ascii="Times New Roman" w:eastAsia="Cambria" w:hAnsi="Times New Roman"/>
          <w:lang w:val="en-US" w:eastAsia="en-US"/>
        </w:rPr>
        <w:t xml:space="preserve"> evaluation mode, </w:t>
      </w:r>
      <w:r w:rsidR="00063E60" w:rsidRPr="00D16B79">
        <w:rPr>
          <w:rFonts w:ascii="Times New Roman" w:eastAsia="Cambria" w:hAnsi="Times New Roman"/>
          <w:lang w:val="en-US" w:eastAsia="en-US"/>
        </w:rPr>
        <w:t xml:space="preserve">social norms, </w:t>
      </w:r>
      <w:r w:rsidR="009A7997" w:rsidRPr="00D16B79">
        <w:rPr>
          <w:rFonts w:ascii="Times New Roman" w:eastAsia="Cambria" w:hAnsi="Times New Roman"/>
          <w:lang w:val="en-US" w:eastAsia="en-US"/>
        </w:rPr>
        <w:t>and charitable giving</w:t>
      </w:r>
      <w:r w:rsidR="00BA1E25" w:rsidRPr="00D16B79">
        <w:rPr>
          <w:rFonts w:ascii="Times New Roman" w:eastAsia="Cambria" w:hAnsi="Times New Roman"/>
          <w:lang w:val="en-US" w:eastAsia="en-US"/>
        </w:rPr>
        <w:t xml:space="preserve">. </w:t>
      </w:r>
      <w:r w:rsidR="00A90078" w:rsidRPr="00D16B79">
        <w:rPr>
          <w:rFonts w:asciiTheme="majorHAnsi" w:eastAsiaTheme="majorEastAsia" w:hAnsiTheme="majorHAnsi" w:cstheme="majorBidi"/>
          <w:b/>
          <w:bCs/>
          <w:i/>
          <w:iCs/>
          <w:caps/>
          <w:kern w:val="32"/>
          <w:lang w:val="en-US"/>
        </w:rPr>
        <w:br w:type="page"/>
      </w:r>
    </w:p>
    <w:p w14:paraId="38743B85" w14:textId="76AEBD24" w:rsidR="00C91456" w:rsidRPr="00D16B79" w:rsidRDefault="007D7F1F" w:rsidP="008257C7">
      <w:pPr>
        <w:pStyle w:val="Heading1"/>
        <w:spacing w:line="432" w:lineRule="auto"/>
      </w:pPr>
      <w:bookmarkStart w:id="32" w:name="_zfuvtb8nqtob" w:colFirst="0" w:colLast="0"/>
      <w:bookmarkEnd w:id="32"/>
      <w:r w:rsidRPr="00D16B79">
        <w:lastRenderedPageBreak/>
        <w:t>REFERENCES</w:t>
      </w:r>
    </w:p>
    <w:p w14:paraId="059CB61E" w14:textId="77777777" w:rsidR="008A4C73" w:rsidRPr="008A4C73" w:rsidRDefault="00C91456" w:rsidP="008A4C73">
      <w:pPr>
        <w:pStyle w:val="Bibliography"/>
        <w:rPr>
          <w:rFonts w:ascii="Times New Roman" w:hAnsi="Times New Roman"/>
        </w:rPr>
      </w:pPr>
      <w:r w:rsidRPr="00D16B79">
        <w:rPr>
          <w:lang w:val="en-US"/>
        </w:rPr>
        <w:fldChar w:fldCharType="begin"/>
      </w:r>
      <w:r w:rsidR="008A4C73">
        <w:rPr>
          <w:lang w:val="en-US"/>
        </w:rPr>
        <w:instrText xml:space="preserve"> ADDIN ZOTERO_BIBL {"uncited":[],"omitted":[],"custom":[]} CSL_BIBLIOGRAPHY </w:instrText>
      </w:r>
      <w:r w:rsidRPr="00D16B79">
        <w:rPr>
          <w:lang w:val="en-US"/>
        </w:rPr>
        <w:fldChar w:fldCharType="separate"/>
      </w:r>
      <w:r w:rsidR="008A4C73" w:rsidRPr="008A4C73">
        <w:rPr>
          <w:rFonts w:ascii="Times New Roman" w:hAnsi="Times New Roman"/>
        </w:rPr>
        <w:t xml:space="preserve">Aaker, Jennifer, Kathleen D. Vohs, and Cassie Mogilner (2010), “Nonprofits Are Seen as Warm and for-Profits as Competent: Firm Stereotypes Matter,” </w:t>
      </w:r>
      <w:r w:rsidR="008A4C73" w:rsidRPr="008A4C73">
        <w:rPr>
          <w:rFonts w:ascii="Times New Roman" w:hAnsi="Times New Roman"/>
          <w:i/>
          <w:iCs/>
        </w:rPr>
        <w:t>Journal of Consumer Research</w:t>
      </w:r>
      <w:r w:rsidR="008A4C73" w:rsidRPr="008A4C73">
        <w:rPr>
          <w:rFonts w:ascii="Times New Roman" w:hAnsi="Times New Roman"/>
        </w:rPr>
        <w:t>, 37 (2), 224–37.</w:t>
      </w:r>
    </w:p>
    <w:p w14:paraId="68035923"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Anik, Lalin and Michael I. Norton (2020), “On Being the Tipping Point: Social Threshold Incentives Motivate Behavior,” </w:t>
      </w:r>
      <w:r w:rsidRPr="008A4C73">
        <w:rPr>
          <w:rFonts w:ascii="Times New Roman" w:hAnsi="Times New Roman"/>
          <w:i/>
          <w:iCs/>
        </w:rPr>
        <w:t>Journal of the Association for Consumer Research</w:t>
      </w:r>
      <w:r w:rsidRPr="008A4C73">
        <w:rPr>
          <w:rFonts w:ascii="Times New Roman" w:hAnsi="Times New Roman"/>
        </w:rPr>
        <w:t>, 5 (1), 19–33.</w:t>
      </w:r>
    </w:p>
    <w:p w14:paraId="637F956A"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Argo, Nichole, David Klinowski, Tamar Krishnamurti, and Sarah Smith (2020), “The Completion Effect in Charitable Crowdfunding,” </w:t>
      </w:r>
      <w:r w:rsidRPr="008A4C73">
        <w:rPr>
          <w:rFonts w:ascii="Times New Roman" w:hAnsi="Times New Roman"/>
          <w:i/>
          <w:iCs/>
        </w:rPr>
        <w:t>Journal of Economic Behavior &amp; Organization</w:t>
      </w:r>
      <w:r w:rsidRPr="008A4C73">
        <w:rPr>
          <w:rFonts w:ascii="Times New Roman" w:hAnsi="Times New Roman"/>
        </w:rPr>
        <w:t>, 172, 17–32.</w:t>
      </w:r>
    </w:p>
    <w:p w14:paraId="3093ED75"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Bazerman, Max H., George F. Loewenstein, and Sally Blount White (1992), “Reversals of Preference in Allocation Decisions: Judging an Alternative Versus Choosing Among Alternatives,” </w:t>
      </w:r>
      <w:r w:rsidRPr="008A4C73">
        <w:rPr>
          <w:rFonts w:ascii="Times New Roman" w:hAnsi="Times New Roman"/>
          <w:i/>
          <w:iCs/>
        </w:rPr>
        <w:t>Administrative Science Quarterly</w:t>
      </w:r>
      <w:r w:rsidRPr="008A4C73">
        <w:rPr>
          <w:rFonts w:ascii="Times New Roman" w:hAnsi="Times New Roman"/>
        </w:rPr>
        <w:t>, 37 (2), 220–40.</w:t>
      </w:r>
    </w:p>
    <w:p w14:paraId="36097533"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Bazerman, Max H., Don A. Moore, Ann E. Tenbrunsel, Kimberly A. Wade-Benzoni, and Sally Blount (1999), “Explaining How Preferences Change Across Joint Versus Separate Evaluation,” </w:t>
      </w:r>
      <w:r w:rsidRPr="008A4C73">
        <w:rPr>
          <w:rFonts w:ascii="Times New Roman" w:hAnsi="Times New Roman"/>
          <w:i/>
          <w:iCs/>
        </w:rPr>
        <w:t>Journal of Economic Behavior &amp; Organization</w:t>
      </w:r>
      <w:r w:rsidRPr="008A4C73">
        <w:rPr>
          <w:rFonts w:ascii="Times New Roman" w:hAnsi="Times New Roman"/>
        </w:rPr>
        <w:t>, 39 (1), 41–58.</w:t>
      </w:r>
    </w:p>
    <w:p w14:paraId="23E1FB3F"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Bazerman, Max H., Holly A. Schroth, Pri Pradhan Shah, Kristina A. Diekmann, and Ann E. Tenbrunsel (1994), “The Inconsistent Role of Comparison Others and Procedural Justice in Reactions to Hypothetical Job Descriptions: Implications for Job Acceptance Decisions,” </w:t>
      </w:r>
      <w:r w:rsidRPr="008A4C73">
        <w:rPr>
          <w:rFonts w:ascii="Times New Roman" w:hAnsi="Times New Roman"/>
          <w:i/>
          <w:iCs/>
        </w:rPr>
        <w:t>Organizational Behavior and Human Decision Processes</w:t>
      </w:r>
      <w:r w:rsidRPr="008A4C73">
        <w:rPr>
          <w:rFonts w:ascii="Times New Roman" w:hAnsi="Times New Roman"/>
        </w:rPr>
        <w:t>, 60 (3), 326–52.</w:t>
      </w:r>
    </w:p>
    <w:p w14:paraId="2F7071EF"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Bhattacharjee, Amit, Jason Dana, and Jonathan Baron (2017), “Anti-profit beliefs: How people neglect the societal benefits of profit,” </w:t>
      </w:r>
      <w:r w:rsidRPr="008A4C73">
        <w:rPr>
          <w:rFonts w:ascii="Times New Roman" w:hAnsi="Times New Roman"/>
          <w:i/>
          <w:iCs/>
        </w:rPr>
        <w:t>Journal of Personality and Social Psychology</w:t>
      </w:r>
      <w:r w:rsidRPr="008A4C73">
        <w:rPr>
          <w:rFonts w:ascii="Times New Roman" w:hAnsi="Times New Roman"/>
        </w:rPr>
        <w:t>, 113 (5), 671–96.</w:t>
      </w:r>
    </w:p>
    <w:p w14:paraId="07CFB3B2"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Boegershausen, Johannes, Hannes Datta, Abhishek Borah, and Andrew T. Stephen (2022), “Fields of Gold: Scraping Web Data for Marketing Insights,” </w:t>
      </w:r>
      <w:r w:rsidRPr="008A4C73">
        <w:rPr>
          <w:rFonts w:ascii="Times New Roman" w:hAnsi="Times New Roman"/>
          <w:i/>
          <w:iCs/>
        </w:rPr>
        <w:t>Journal of Marketing</w:t>
      </w:r>
      <w:r w:rsidRPr="008A4C73">
        <w:rPr>
          <w:rFonts w:ascii="Times New Roman" w:hAnsi="Times New Roman"/>
        </w:rPr>
        <w:t>, 86 (5), 1–20.</w:t>
      </w:r>
    </w:p>
    <w:p w14:paraId="462D6D49"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Bonezzi, Andrea, C. Miguel Brendl, and Matteo De Angelis (2011), “Stuck in the Middle: The Psychophysics of Goal Pursuit,” </w:t>
      </w:r>
      <w:r w:rsidRPr="008A4C73">
        <w:rPr>
          <w:rFonts w:ascii="Times New Roman" w:hAnsi="Times New Roman"/>
          <w:i/>
          <w:iCs/>
        </w:rPr>
        <w:t>Psychological Science</w:t>
      </w:r>
      <w:r w:rsidRPr="008A4C73">
        <w:rPr>
          <w:rFonts w:ascii="Times New Roman" w:hAnsi="Times New Roman"/>
        </w:rPr>
        <w:t>, 22 (5), 607–12.</w:t>
      </w:r>
    </w:p>
    <w:p w14:paraId="57C65725"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Bradley, Alex, Claire Lawrence, and Eamonn Ferguson (2019), “When the Relatively Poor Prosper: The Underdog Effect on Charitable Donations,” </w:t>
      </w:r>
      <w:r w:rsidRPr="008A4C73">
        <w:rPr>
          <w:rFonts w:ascii="Times New Roman" w:hAnsi="Times New Roman"/>
          <w:i/>
          <w:iCs/>
        </w:rPr>
        <w:t>Nonprofit and Voluntary Sector Quarterly</w:t>
      </w:r>
      <w:r w:rsidRPr="008A4C73">
        <w:rPr>
          <w:rFonts w:ascii="Times New Roman" w:hAnsi="Times New Roman"/>
        </w:rPr>
        <w:t>, 48 (1), 20.</w:t>
      </w:r>
    </w:p>
    <w:p w14:paraId="6F0A072C"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Breeze, Beth (2013), “How donors choose charities: the role of personal taste and experiences in giving decisions,” </w:t>
      </w:r>
      <w:r w:rsidRPr="008A4C73">
        <w:rPr>
          <w:rFonts w:ascii="Times New Roman" w:hAnsi="Times New Roman"/>
          <w:i/>
          <w:iCs/>
        </w:rPr>
        <w:t>Voluntary Sector Review</w:t>
      </w:r>
      <w:r w:rsidRPr="008A4C73">
        <w:rPr>
          <w:rFonts w:ascii="Times New Roman" w:hAnsi="Times New Roman"/>
        </w:rPr>
        <w:t>, 4 (2), 165–83.</w:t>
      </w:r>
    </w:p>
    <w:p w14:paraId="6EC20FED"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Brendl, C. Miguel, Arthur B. Markman, and Claude Messner (2003), “The Devaluation Effect: Activating a Need Devalues Unrelated Objects,” </w:t>
      </w:r>
      <w:r w:rsidRPr="008A4C73">
        <w:rPr>
          <w:rFonts w:ascii="Times New Roman" w:hAnsi="Times New Roman"/>
          <w:i/>
          <w:iCs/>
        </w:rPr>
        <w:t>Journal of Consumer Research</w:t>
      </w:r>
      <w:r w:rsidRPr="008A4C73">
        <w:rPr>
          <w:rFonts w:ascii="Times New Roman" w:hAnsi="Times New Roman"/>
        </w:rPr>
        <w:t>, 29 (4), 463–73.</w:t>
      </w:r>
    </w:p>
    <w:p w14:paraId="25E9FB7F"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Cialdini, Robert B. and Melanie R. Trost (1998), “Social Influence: Social Norms, Conformity and Compliance.,” in </w:t>
      </w:r>
      <w:r w:rsidRPr="008A4C73">
        <w:rPr>
          <w:rFonts w:ascii="Times New Roman" w:hAnsi="Times New Roman"/>
          <w:i/>
          <w:iCs/>
        </w:rPr>
        <w:t>The Handbook of Social Psychology</w:t>
      </w:r>
      <w:r w:rsidRPr="008A4C73">
        <w:rPr>
          <w:rFonts w:ascii="Times New Roman" w:hAnsi="Times New Roman"/>
        </w:rPr>
        <w:t>, New York: McGraw-Hill, 151–92.</w:t>
      </w:r>
    </w:p>
    <w:p w14:paraId="1C620F7B"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Cryder, Cynthia, Simona Botti, and Yvetta Simonyan (2017), “The Charity Beauty Premium: Satisfying Donors’ ‘Want’ Versus ‘Should’ Desires,” </w:t>
      </w:r>
      <w:r w:rsidRPr="008A4C73">
        <w:rPr>
          <w:rFonts w:ascii="Times New Roman" w:hAnsi="Times New Roman"/>
          <w:i/>
          <w:iCs/>
        </w:rPr>
        <w:t>Journal of Marketing Research</w:t>
      </w:r>
      <w:r w:rsidRPr="008A4C73">
        <w:rPr>
          <w:rFonts w:ascii="Times New Roman" w:hAnsi="Times New Roman"/>
        </w:rPr>
        <w:t>, 54 (4), 605–18.</w:t>
      </w:r>
    </w:p>
    <w:p w14:paraId="78F89B13"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Cryder, Cynthia E., George Loewenstein, and Howard Seltman (2013), “Goal Gradient in Helping Behavior,” </w:t>
      </w:r>
      <w:r w:rsidRPr="008A4C73">
        <w:rPr>
          <w:rFonts w:ascii="Times New Roman" w:hAnsi="Times New Roman"/>
          <w:i/>
          <w:iCs/>
        </w:rPr>
        <w:t>Journal of Experimental Social Psychology</w:t>
      </w:r>
      <w:r w:rsidRPr="008A4C73">
        <w:rPr>
          <w:rFonts w:ascii="Times New Roman" w:hAnsi="Times New Roman"/>
        </w:rPr>
        <w:t>, 49 (6), 1078–83.</w:t>
      </w:r>
    </w:p>
    <w:p w14:paraId="74622D59"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Dai, Hengchen and Dennis J. Zhang (2019), “Prosocial Goal Pursuit in Crowdfunding: Evidence from Kickstarter,” </w:t>
      </w:r>
      <w:r w:rsidRPr="008A4C73">
        <w:rPr>
          <w:rFonts w:ascii="Times New Roman" w:hAnsi="Times New Roman"/>
          <w:i/>
          <w:iCs/>
        </w:rPr>
        <w:t>Journal of Marketing Research</w:t>
      </w:r>
      <w:r w:rsidRPr="008A4C73">
        <w:rPr>
          <w:rFonts w:ascii="Times New Roman" w:hAnsi="Times New Roman"/>
        </w:rPr>
        <w:t>, 56 (3), 498–517.</w:t>
      </w:r>
    </w:p>
    <w:p w14:paraId="75729C80" w14:textId="77777777" w:rsidR="008A4C73" w:rsidRPr="008A4C73" w:rsidRDefault="008A4C73" w:rsidP="008A4C73">
      <w:pPr>
        <w:pStyle w:val="Bibliography"/>
        <w:rPr>
          <w:rFonts w:ascii="Times New Roman" w:hAnsi="Times New Roman"/>
        </w:rPr>
      </w:pPr>
      <w:r w:rsidRPr="008A4C73">
        <w:rPr>
          <w:rFonts w:ascii="Times New Roman" w:hAnsi="Times New Roman"/>
        </w:rPr>
        <w:lastRenderedPageBreak/>
        <w:t xml:space="preserve">Fishbach, Ayelet and Ravi Dhar (2005), “Goals as Excuses or Guides: The Liberating Effect of Perceived Goal Progress on Choice,” </w:t>
      </w:r>
      <w:r w:rsidRPr="008A4C73">
        <w:rPr>
          <w:rFonts w:ascii="Times New Roman" w:hAnsi="Times New Roman"/>
          <w:i/>
          <w:iCs/>
        </w:rPr>
        <w:t>Journal of Consumer Research</w:t>
      </w:r>
      <w:r w:rsidRPr="008A4C73">
        <w:rPr>
          <w:rFonts w:ascii="Times New Roman" w:hAnsi="Times New Roman"/>
        </w:rPr>
        <w:t>, 32 (3), 370–77.</w:t>
      </w:r>
    </w:p>
    <w:p w14:paraId="48EACD5D"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Fishbach, Ayelet, Marlone D. Henderson, and Minjung Koo (2011), “Pursuing goals with others: Group identification and motivation resulting from things done versus things left undone,” </w:t>
      </w:r>
      <w:r w:rsidRPr="008A4C73">
        <w:rPr>
          <w:rFonts w:ascii="Times New Roman" w:hAnsi="Times New Roman"/>
          <w:i/>
          <w:iCs/>
        </w:rPr>
        <w:t>Journal of Experimental Psychology: General</w:t>
      </w:r>
      <w:r w:rsidRPr="008A4C73">
        <w:rPr>
          <w:rFonts w:ascii="Times New Roman" w:hAnsi="Times New Roman"/>
        </w:rPr>
        <w:t>, 140 (3), 520–34.</w:t>
      </w:r>
    </w:p>
    <w:p w14:paraId="72D55428"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Fishbach, Ayelet, Minjung Koo, and Stacey R. Finkelstein (2014), “Chapter Five - Motivation Resulting from Completed and Missing Actions,” in </w:t>
      </w:r>
      <w:r w:rsidRPr="008A4C73">
        <w:rPr>
          <w:rFonts w:ascii="Times New Roman" w:hAnsi="Times New Roman"/>
          <w:i/>
          <w:iCs/>
        </w:rPr>
        <w:t>Advances in Experimental Social Psychology</w:t>
      </w:r>
      <w:r w:rsidRPr="008A4C73">
        <w:rPr>
          <w:rFonts w:ascii="Times New Roman" w:hAnsi="Times New Roman"/>
        </w:rPr>
        <w:t>, J. M. Olson and M. P. Zanna, eds., New York: Academic Press, 257–307.</w:t>
      </w:r>
    </w:p>
    <w:p w14:paraId="7D0A6788"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GoFundMe (2022), “About GoFundMe,” </w:t>
      </w:r>
      <w:r w:rsidRPr="008A4C73">
        <w:rPr>
          <w:rFonts w:ascii="Times New Roman" w:hAnsi="Times New Roman"/>
          <w:i/>
          <w:iCs/>
        </w:rPr>
        <w:t>GoFundMe</w:t>
      </w:r>
      <w:r w:rsidRPr="008A4C73">
        <w:rPr>
          <w:rFonts w:ascii="Times New Roman" w:hAnsi="Times New Roman"/>
        </w:rPr>
        <w:t>, (accessed August 4, 2022), [available at https://www.gofundme.com/c/about-us/].</w:t>
      </w:r>
    </w:p>
    <w:p w14:paraId="1332C6EB"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Habib, Rishad, Katherine White, and JoAndrea Hoegg (2021), “Everybody Thinks We Should but Nobody Does: How Combined Injunctive and Descriptive Norms Motivate Organ Donor Registration,” </w:t>
      </w:r>
      <w:r w:rsidRPr="008A4C73">
        <w:rPr>
          <w:rFonts w:ascii="Times New Roman" w:hAnsi="Times New Roman"/>
          <w:i/>
          <w:iCs/>
        </w:rPr>
        <w:t>Journal of Consumer Psychology</w:t>
      </w:r>
      <w:r w:rsidRPr="008A4C73">
        <w:rPr>
          <w:rFonts w:ascii="Times New Roman" w:hAnsi="Times New Roman"/>
        </w:rPr>
        <w:t>, 31 (3), 621–30.</w:t>
      </w:r>
    </w:p>
    <w:p w14:paraId="1E05D840"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Hsee, Christopher K. (1996), “The Evaluability Hypothesis: An Explanation for Preference Reversals between Joint and Separate Evaluations of Alternatives,” </w:t>
      </w:r>
      <w:r w:rsidRPr="008A4C73">
        <w:rPr>
          <w:rFonts w:ascii="Times New Roman" w:hAnsi="Times New Roman"/>
          <w:i/>
          <w:iCs/>
        </w:rPr>
        <w:t>Organizational Behavior and Human Decision Processes</w:t>
      </w:r>
      <w:r w:rsidRPr="008A4C73">
        <w:rPr>
          <w:rFonts w:ascii="Times New Roman" w:hAnsi="Times New Roman"/>
        </w:rPr>
        <w:t>, 67 (3), 247–57.</w:t>
      </w:r>
    </w:p>
    <w:p w14:paraId="6145CF89" w14:textId="77777777" w:rsidR="008A4C73" w:rsidRPr="008A4C73" w:rsidRDefault="008A4C73" w:rsidP="008A4C73">
      <w:pPr>
        <w:pStyle w:val="Bibliography"/>
        <w:rPr>
          <w:rFonts w:ascii="Times New Roman" w:hAnsi="Times New Roman"/>
        </w:rPr>
      </w:pPr>
      <w:r w:rsidRPr="008A4C73">
        <w:rPr>
          <w:rFonts w:ascii="Times New Roman" w:hAnsi="Times New Roman"/>
        </w:rPr>
        <w:t>Hsee, Christopher K, Sally Blount, George F Loewenstein, and Max H Bazerman (1999), “Preference Reversals Between Joint and Separate Evaluations of Options: A Review and Theoretical Analysis,” 125 (5), 576–90.</w:t>
      </w:r>
    </w:p>
    <w:p w14:paraId="4E37B520"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Huang, Szu-Chi and Ying Zhang (2011), “Motivational Consequences of Perceived Velocity in Consumer Goal Pursuit,” </w:t>
      </w:r>
      <w:r w:rsidRPr="008A4C73">
        <w:rPr>
          <w:rFonts w:ascii="Times New Roman" w:hAnsi="Times New Roman"/>
          <w:i/>
          <w:iCs/>
        </w:rPr>
        <w:t>Journal of Marketing Research</w:t>
      </w:r>
      <w:r w:rsidRPr="008A4C73">
        <w:rPr>
          <w:rFonts w:ascii="Times New Roman" w:hAnsi="Times New Roman"/>
        </w:rPr>
        <w:t>, 48 (6), 1045–56.</w:t>
      </w:r>
    </w:p>
    <w:p w14:paraId="4A2C7E37"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Huang, Szu-chi, Ying Zhang, and Susan M. Broniarczyk (2012), “So Near and yet so Far: The Mental Representation of Goal Progress,” </w:t>
      </w:r>
      <w:r w:rsidRPr="008A4C73">
        <w:rPr>
          <w:rFonts w:ascii="Times New Roman" w:hAnsi="Times New Roman"/>
          <w:i/>
          <w:iCs/>
        </w:rPr>
        <w:t>Journal of Personality and Social Psychology</w:t>
      </w:r>
      <w:r w:rsidRPr="008A4C73">
        <w:rPr>
          <w:rFonts w:ascii="Times New Roman" w:hAnsi="Times New Roman"/>
        </w:rPr>
        <w:t>, 103 (2), 225–41.</w:t>
      </w:r>
    </w:p>
    <w:p w14:paraId="27F2EBE8"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Irwin, Julie R., Paul Slovic, Sarah Lichtenstein, and Gary H. McClelland (1993), “Preference Reversals and the Measurement of Environmental Values,” </w:t>
      </w:r>
      <w:r w:rsidRPr="008A4C73">
        <w:rPr>
          <w:rFonts w:ascii="Times New Roman" w:hAnsi="Times New Roman"/>
          <w:i/>
          <w:iCs/>
        </w:rPr>
        <w:t>Journal of Risk and Uncertainty</w:t>
      </w:r>
      <w:r w:rsidRPr="008A4C73">
        <w:rPr>
          <w:rFonts w:ascii="Times New Roman" w:hAnsi="Times New Roman"/>
        </w:rPr>
        <w:t>, 6 (1), 5–18.</w:t>
      </w:r>
    </w:p>
    <w:p w14:paraId="2D50FAA6"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Jenni, Karen and George Loewenstein (1997), “Explaining the identifiable victim effect,” </w:t>
      </w:r>
      <w:r w:rsidRPr="008A4C73">
        <w:rPr>
          <w:rFonts w:ascii="Times New Roman" w:hAnsi="Times New Roman"/>
          <w:i/>
          <w:iCs/>
        </w:rPr>
        <w:t>Journal of Risk and Uncertainty</w:t>
      </w:r>
      <w:r w:rsidRPr="008A4C73">
        <w:rPr>
          <w:rFonts w:ascii="Times New Roman" w:hAnsi="Times New Roman"/>
        </w:rPr>
        <w:t>, 14 (3), 235–57.</w:t>
      </w:r>
    </w:p>
    <w:p w14:paraId="16AC8434"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Jensen, Jakob D., Andy J. King, and Nick Carcioppolo (2013), “Driving Toward a Goal and the Goal-Gradient Hypothesis: The Impact of Goal Proximity on Compliance Rate, Donation Size, and Fatigue,” </w:t>
      </w:r>
      <w:r w:rsidRPr="008A4C73">
        <w:rPr>
          <w:rFonts w:ascii="Times New Roman" w:hAnsi="Times New Roman"/>
          <w:i/>
          <w:iCs/>
        </w:rPr>
        <w:t>Journal of Applied Social Psychology</w:t>
      </w:r>
      <w:r w:rsidRPr="008A4C73">
        <w:rPr>
          <w:rFonts w:ascii="Times New Roman" w:hAnsi="Times New Roman"/>
        </w:rPr>
        <w:t>, 43 (9), 1881–95.</w:t>
      </w:r>
    </w:p>
    <w:p w14:paraId="735886D2"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Kervyn, Nicolas, Susan T. Fiske, and Chris Malone (2022), “Social perception of brands: Warmth and competence define images of both brands and social groups,” </w:t>
      </w:r>
      <w:r w:rsidRPr="008A4C73">
        <w:rPr>
          <w:rFonts w:ascii="Times New Roman" w:hAnsi="Times New Roman"/>
          <w:i/>
          <w:iCs/>
        </w:rPr>
        <w:t>Consumer Psychology Review</w:t>
      </w:r>
      <w:r w:rsidRPr="008A4C73">
        <w:rPr>
          <w:rFonts w:ascii="Times New Roman" w:hAnsi="Times New Roman"/>
        </w:rPr>
        <w:t>, 5 (1), 51–68.</w:t>
      </w:r>
    </w:p>
    <w:p w14:paraId="26390E84"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Kirmani, Amna, Rebecca W. Hamilton, Debora V. Thompson, and Shannon Lantzy (2017), “Doing Well Versus Doing Good: The Differential Effect of Underdog Positioning on Moral and Competent Service Providers,” </w:t>
      </w:r>
      <w:r w:rsidRPr="008A4C73">
        <w:rPr>
          <w:rFonts w:ascii="Times New Roman" w:hAnsi="Times New Roman"/>
          <w:i/>
          <w:iCs/>
        </w:rPr>
        <w:t>Journal of Marketing</w:t>
      </w:r>
      <w:r w:rsidRPr="008A4C73">
        <w:rPr>
          <w:rFonts w:ascii="Times New Roman" w:hAnsi="Times New Roman"/>
        </w:rPr>
        <w:t>, 81 (1), 103–17.</w:t>
      </w:r>
    </w:p>
    <w:p w14:paraId="75EEAAE7"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Kiva (2022), “About us,” </w:t>
      </w:r>
      <w:r w:rsidRPr="008A4C73">
        <w:rPr>
          <w:rFonts w:ascii="Times New Roman" w:hAnsi="Times New Roman"/>
          <w:i/>
          <w:iCs/>
        </w:rPr>
        <w:t>Kiva</w:t>
      </w:r>
      <w:r w:rsidRPr="008A4C73">
        <w:rPr>
          <w:rFonts w:ascii="Times New Roman" w:hAnsi="Times New Roman"/>
        </w:rPr>
        <w:t>, (accessed August 4, 2022), [available at www.kiva.org/about].</w:t>
      </w:r>
    </w:p>
    <w:p w14:paraId="601F4EA9"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Kivetz, Ran, Oded Netzer, and V. Srinivasan (2004), “Alternative Models for Capturing the Compromise Effect,” </w:t>
      </w:r>
      <w:r w:rsidRPr="008A4C73">
        <w:rPr>
          <w:rFonts w:ascii="Times New Roman" w:hAnsi="Times New Roman"/>
          <w:i/>
          <w:iCs/>
        </w:rPr>
        <w:t>Journal of Marketing Research</w:t>
      </w:r>
      <w:r w:rsidRPr="008A4C73">
        <w:rPr>
          <w:rFonts w:ascii="Times New Roman" w:hAnsi="Times New Roman"/>
        </w:rPr>
        <w:t>, 41 (3), 237–57.</w:t>
      </w:r>
    </w:p>
    <w:p w14:paraId="2C199538"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Kivetz, Ran, Oleg Urminsky, and Yuhuang Zheng (2006), “The Goal-Gradient Hypothesis Resurrected: Purchase Acceleration, Illusionary Goal Progress, and Customer Retention,” </w:t>
      </w:r>
      <w:r w:rsidRPr="008A4C73">
        <w:rPr>
          <w:rFonts w:ascii="Times New Roman" w:hAnsi="Times New Roman"/>
          <w:i/>
          <w:iCs/>
        </w:rPr>
        <w:t>Journal of Marketing Research</w:t>
      </w:r>
      <w:r w:rsidRPr="008A4C73">
        <w:rPr>
          <w:rFonts w:ascii="Times New Roman" w:hAnsi="Times New Roman"/>
        </w:rPr>
        <w:t>, 43 (1), 39–58.</w:t>
      </w:r>
    </w:p>
    <w:p w14:paraId="6C7E476E" w14:textId="77777777" w:rsidR="008A4C73" w:rsidRPr="008A4C73" w:rsidRDefault="008A4C73" w:rsidP="008A4C73">
      <w:pPr>
        <w:pStyle w:val="Bibliography"/>
        <w:rPr>
          <w:rFonts w:ascii="Times New Roman" w:hAnsi="Times New Roman"/>
        </w:rPr>
      </w:pPr>
      <w:r w:rsidRPr="008A4C73">
        <w:rPr>
          <w:rFonts w:ascii="Times New Roman" w:hAnsi="Times New Roman"/>
        </w:rPr>
        <w:lastRenderedPageBreak/>
        <w:t xml:space="preserve">Koo, Minjung and Ayelet Fishbach (2008), “Dynamics of self-regulation: How (un)accomplished goal actions affect motivation.,” </w:t>
      </w:r>
      <w:r w:rsidRPr="008A4C73">
        <w:rPr>
          <w:rFonts w:ascii="Times New Roman" w:hAnsi="Times New Roman"/>
          <w:i/>
          <w:iCs/>
        </w:rPr>
        <w:t>Journal of Personality and Social Psychology</w:t>
      </w:r>
      <w:r w:rsidRPr="008A4C73">
        <w:rPr>
          <w:rFonts w:ascii="Times New Roman" w:hAnsi="Times New Roman"/>
        </w:rPr>
        <w:t>, 94 (2), 183–95.</w:t>
      </w:r>
    </w:p>
    <w:p w14:paraId="438728BE"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Koo, Minjung and Ayelet Fishbach (2012), “The Small-Area Hypothesis: Effects of Progress Monitoring on Goal Adherence,” </w:t>
      </w:r>
      <w:r w:rsidRPr="008A4C73">
        <w:rPr>
          <w:rFonts w:ascii="Times New Roman" w:hAnsi="Times New Roman"/>
          <w:i/>
          <w:iCs/>
        </w:rPr>
        <w:t>Journal of Consumer Research</w:t>
      </w:r>
      <w:r w:rsidRPr="008A4C73">
        <w:rPr>
          <w:rFonts w:ascii="Times New Roman" w:hAnsi="Times New Roman"/>
        </w:rPr>
        <w:t>, 39 (3), 493–509.</w:t>
      </w:r>
    </w:p>
    <w:p w14:paraId="3332DC83"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Koo, Minjung and Ayelet Fishbach (2014), “Dynamics of self-regulation: How (un)accomplished goal actions affect motivation,” </w:t>
      </w:r>
      <w:r w:rsidRPr="008A4C73">
        <w:rPr>
          <w:rFonts w:ascii="Times New Roman" w:hAnsi="Times New Roman"/>
          <w:i/>
          <w:iCs/>
        </w:rPr>
        <w:t>Motivation Science</w:t>
      </w:r>
      <w:r w:rsidRPr="008A4C73">
        <w:rPr>
          <w:rFonts w:ascii="Times New Roman" w:hAnsi="Times New Roman"/>
        </w:rPr>
        <w:t>, 1 (S), 73–90.</w:t>
      </w:r>
    </w:p>
    <w:p w14:paraId="41425F1D"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Kuppuswamy, Venkat and Barry L. Bayus (2018), “Crowdfunding Creative Ideas: The Dynamics of Project Backers,” in </w:t>
      </w:r>
      <w:r w:rsidRPr="008A4C73">
        <w:rPr>
          <w:rFonts w:ascii="Times New Roman" w:hAnsi="Times New Roman"/>
          <w:i/>
          <w:iCs/>
        </w:rPr>
        <w:t>The Economics of Crowdfunding</w:t>
      </w:r>
      <w:r w:rsidRPr="008A4C73">
        <w:rPr>
          <w:rFonts w:ascii="Times New Roman" w:hAnsi="Times New Roman"/>
        </w:rPr>
        <w:t>, D. Cumming and L. Hornuf, eds., Palgrave Macmillan Cham.</w:t>
      </w:r>
    </w:p>
    <w:p w14:paraId="2A47A6FD"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Li, Xilin and Christopher K. Hsee (2019), “Beyond Preference Reversal: Distinguishing Justifiability from Evaluability in Joint Versus Single Evaluations,” </w:t>
      </w:r>
      <w:r w:rsidRPr="008A4C73">
        <w:rPr>
          <w:rFonts w:ascii="Times New Roman" w:hAnsi="Times New Roman"/>
          <w:i/>
          <w:iCs/>
        </w:rPr>
        <w:t>Organizational Behavior and Human Decision Processes</w:t>
      </w:r>
      <w:r w:rsidRPr="008A4C73">
        <w:rPr>
          <w:rFonts w:ascii="Times New Roman" w:hAnsi="Times New Roman"/>
        </w:rPr>
        <w:t>, 153, 63–74.</w:t>
      </w:r>
    </w:p>
    <w:p w14:paraId="19DE0E61"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Major, Brenda and Blythe Forcey (1985), “Social Comparisons and Pay Evaluations: Preferences for Same-Sex and Same-Job Wage Comparisons,” </w:t>
      </w:r>
      <w:r w:rsidRPr="008A4C73">
        <w:rPr>
          <w:rFonts w:ascii="Times New Roman" w:hAnsi="Times New Roman"/>
          <w:i/>
          <w:iCs/>
        </w:rPr>
        <w:t>Journal of Experimental Social Psychology</w:t>
      </w:r>
      <w:r w:rsidRPr="008A4C73">
        <w:rPr>
          <w:rFonts w:ascii="Times New Roman" w:hAnsi="Times New Roman"/>
        </w:rPr>
        <w:t>, 21 (4), 393–405.</w:t>
      </w:r>
    </w:p>
    <w:p w14:paraId="76DA6A3D"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Montoya, Amanda K. and Andrew F. Hayes (2017), “Two-Condition Within-Participant Statistical Mediation Analysis: A Path-Analytic Framework,” </w:t>
      </w:r>
      <w:r w:rsidRPr="008A4C73">
        <w:rPr>
          <w:rFonts w:ascii="Times New Roman" w:hAnsi="Times New Roman"/>
          <w:i/>
          <w:iCs/>
        </w:rPr>
        <w:t>Psychological Methods</w:t>
      </w:r>
      <w:r w:rsidRPr="008A4C73">
        <w:rPr>
          <w:rFonts w:ascii="Times New Roman" w:hAnsi="Times New Roman"/>
        </w:rPr>
        <w:t>, 22 (1), 6–27.</w:t>
      </w:r>
    </w:p>
    <w:p w14:paraId="342A9F8C"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Nowlis, Stephen M. and Itamar Simonson (1997), “Attribute–Task Compatibility as a Determinant of Consumer Preference Reversals,” </w:t>
      </w:r>
      <w:r w:rsidRPr="008A4C73">
        <w:rPr>
          <w:rFonts w:ascii="Times New Roman" w:hAnsi="Times New Roman"/>
          <w:i/>
          <w:iCs/>
        </w:rPr>
        <w:t>Journal of Marketing Research</w:t>
      </w:r>
      <w:r w:rsidRPr="008A4C73">
        <w:rPr>
          <w:rFonts w:ascii="Times New Roman" w:hAnsi="Times New Roman"/>
        </w:rPr>
        <w:t>, 34 (2), 205–18.</w:t>
      </w:r>
    </w:p>
    <w:p w14:paraId="62377B39"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Ordabayeva, Nailya and Pierre Chandon (2011), “Getting Ahead of the Joneses: When Equality Increases Conspicuous Consumption among Bottom-Tier Consumers,” </w:t>
      </w:r>
      <w:r w:rsidRPr="008A4C73">
        <w:rPr>
          <w:rFonts w:ascii="Times New Roman" w:hAnsi="Times New Roman"/>
          <w:i/>
          <w:iCs/>
        </w:rPr>
        <w:t>Journal of Consumer Research</w:t>
      </w:r>
      <w:r w:rsidRPr="008A4C73">
        <w:rPr>
          <w:rFonts w:ascii="Times New Roman" w:hAnsi="Times New Roman"/>
        </w:rPr>
        <w:t>, 38 (1), 27–41.</w:t>
      </w:r>
    </w:p>
    <w:p w14:paraId="057F30D9"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Paharia, Neeru, Anat Keinan, Jill Avery, and Juliet B. Schor (2011), “The Underdog Effect: The Marketing of Disadvantage and Determination through Brand Biography,” </w:t>
      </w:r>
      <w:r w:rsidRPr="008A4C73">
        <w:rPr>
          <w:rFonts w:ascii="Times New Roman" w:hAnsi="Times New Roman"/>
          <w:i/>
          <w:iCs/>
        </w:rPr>
        <w:t>Journal of Consumer Research</w:t>
      </w:r>
      <w:r w:rsidRPr="008A4C73">
        <w:rPr>
          <w:rFonts w:ascii="Times New Roman" w:hAnsi="Times New Roman"/>
        </w:rPr>
        <w:t>, 37 (5), 775–90.</w:t>
      </w:r>
    </w:p>
    <w:p w14:paraId="7B81A0F6"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Schultz, P. Wesley, Jessica M. Nolan, Robert B. Cialdini, Noah J. Goldstein, and Vladas Griskevicius (2007), “The Constructive, Destructive, and Reconstructive Power of Social Norms,” </w:t>
      </w:r>
      <w:r w:rsidRPr="008A4C73">
        <w:rPr>
          <w:rFonts w:ascii="Times New Roman" w:hAnsi="Times New Roman"/>
          <w:i/>
          <w:iCs/>
        </w:rPr>
        <w:t>Psychological Science</w:t>
      </w:r>
      <w:r w:rsidRPr="008A4C73">
        <w:rPr>
          <w:rFonts w:ascii="Times New Roman" w:hAnsi="Times New Roman"/>
        </w:rPr>
        <w:t>, 18 (5), 429–34.</w:t>
      </w:r>
    </w:p>
    <w:p w14:paraId="3708FD0C"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Sparkman, Gregg and Gregory M. Walton (2017), “Dynamic Norms Promote Sustainable Behavior, Even If It Is Counternormative,” </w:t>
      </w:r>
      <w:r w:rsidRPr="008A4C73">
        <w:rPr>
          <w:rFonts w:ascii="Times New Roman" w:hAnsi="Times New Roman"/>
          <w:i/>
          <w:iCs/>
        </w:rPr>
        <w:t>Psychological Science</w:t>
      </w:r>
      <w:r w:rsidRPr="008A4C73">
        <w:rPr>
          <w:rFonts w:ascii="Times New Roman" w:hAnsi="Times New Roman"/>
        </w:rPr>
        <w:t>, 28 (11), 1663–74.</w:t>
      </w:r>
    </w:p>
    <w:p w14:paraId="6EE07C9D"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Wash, Rick (2013), “The Value of Completing Crowdfunding Projects.,” </w:t>
      </w:r>
      <w:r w:rsidRPr="008A4C73">
        <w:rPr>
          <w:rFonts w:ascii="Times New Roman" w:hAnsi="Times New Roman"/>
          <w:i/>
          <w:iCs/>
        </w:rPr>
        <w:t>ICWSM</w:t>
      </w:r>
      <w:r w:rsidRPr="008A4C73">
        <w:rPr>
          <w:rFonts w:ascii="Times New Roman" w:hAnsi="Times New Roman"/>
        </w:rPr>
        <w:t>, 13, 2013.</w:t>
      </w:r>
    </w:p>
    <w:p w14:paraId="35198946" w14:textId="77777777" w:rsidR="008A4C73" w:rsidRPr="008A4C73" w:rsidRDefault="008A4C73" w:rsidP="008A4C73">
      <w:pPr>
        <w:pStyle w:val="Bibliography"/>
        <w:rPr>
          <w:rFonts w:ascii="Times New Roman" w:hAnsi="Times New Roman"/>
        </w:rPr>
      </w:pPr>
      <w:r w:rsidRPr="008A4C73">
        <w:rPr>
          <w:rFonts w:ascii="Times New Roman" w:hAnsi="Times New Roman"/>
        </w:rPr>
        <w:t xml:space="preserve">Zhang, Lijun (Shirley), Thomas Allard, David Hardisty, and Xin (Shane) Wang (2023), “The Charity Competence Curse: When Signals of Managerial Competence Backfire.,” </w:t>
      </w:r>
      <w:r w:rsidRPr="008A4C73">
        <w:rPr>
          <w:rFonts w:ascii="Times New Roman" w:hAnsi="Times New Roman"/>
          <w:i/>
          <w:iCs/>
        </w:rPr>
        <w:t>ACR 2023 Association for Consumer Research Advances in Consumer Research</w:t>
      </w:r>
      <w:r w:rsidRPr="008A4C73">
        <w:rPr>
          <w:rFonts w:ascii="Times New Roman" w:hAnsi="Times New Roman"/>
        </w:rPr>
        <w:t>, Volume LI.</w:t>
      </w:r>
    </w:p>
    <w:p w14:paraId="5E2FF5CB" w14:textId="2FB40E2F" w:rsidR="00784E04" w:rsidRPr="00D16B79" w:rsidRDefault="00C91456" w:rsidP="00445164">
      <w:pPr>
        <w:pStyle w:val="Bibliography"/>
        <w:spacing w:line="276" w:lineRule="auto"/>
        <w:ind w:left="0" w:firstLine="0"/>
        <w:rPr>
          <w:lang w:val="en-US"/>
        </w:rPr>
      </w:pPr>
      <w:r w:rsidRPr="00D16B79">
        <w:rPr>
          <w:lang w:val="en-US"/>
        </w:rPr>
        <w:fldChar w:fldCharType="end"/>
      </w:r>
    </w:p>
    <w:sectPr w:rsidR="00784E04" w:rsidRPr="00D16B79" w:rsidSect="001D26AA">
      <w:headerReference w:type="default" r:id="rId12"/>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5A815" w14:textId="77777777" w:rsidR="00595F27" w:rsidRDefault="00595F27" w:rsidP="00E473EF">
      <w:r>
        <w:separator/>
      </w:r>
    </w:p>
  </w:endnote>
  <w:endnote w:type="continuationSeparator" w:id="0">
    <w:p w14:paraId="4CBA7001" w14:textId="77777777" w:rsidR="00595F27" w:rsidRDefault="00595F27" w:rsidP="00E4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385C0" w14:textId="77777777" w:rsidR="00595F27" w:rsidRDefault="00595F27" w:rsidP="00E473EF">
      <w:r>
        <w:separator/>
      </w:r>
    </w:p>
  </w:footnote>
  <w:footnote w:type="continuationSeparator" w:id="0">
    <w:p w14:paraId="38A83494" w14:textId="77777777" w:rsidR="00595F27" w:rsidRDefault="00595F27" w:rsidP="00E473EF">
      <w:r>
        <w:continuationSeparator/>
      </w:r>
    </w:p>
  </w:footnote>
  <w:footnote w:id="1">
    <w:p w14:paraId="6FFA1789" w14:textId="5894E27E" w:rsidR="008A4C73" w:rsidRPr="00C21AB1" w:rsidRDefault="008A4C73">
      <w:pPr>
        <w:pStyle w:val="FootnoteText"/>
        <w:rPr>
          <w:lang w:val="en-US"/>
        </w:rPr>
      </w:pPr>
      <w:r w:rsidRPr="00563997">
        <w:rPr>
          <w:rStyle w:val="FootnoteReference"/>
        </w:rPr>
        <w:footnoteRef/>
      </w:r>
      <w:r>
        <w:t xml:space="preserve"> </w:t>
      </w:r>
      <w:r>
        <w:rPr>
          <w:lang w:val="en-US"/>
        </w:rPr>
        <w:t xml:space="preserve">Hybrid t-test formula for calculating t-value: </w:t>
      </w:r>
      <w:r w:rsidRPr="00C21AB1">
        <w:rPr>
          <w:lang w:val="en-US"/>
        </w:rPr>
        <w:t>t = ((M</w:t>
      </w:r>
      <w:r w:rsidRPr="00C21AB1">
        <w:rPr>
          <w:vertAlign w:val="subscript"/>
          <w:lang w:val="en-US"/>
        </w:rPr>
        <w:t>JA</w:t>
      </w:r>
      <w:r w:rsidRPr="00C21AB1">
        <w:rPr>
          <w:lang w:val="en-US"/>
        </w:rPr>
        <w:t xml:space="preserve"> – M</w:t>
      </w:r>
      <w:r w:rsidRPr="00C21AB1">
        <w:rPr>
          <w:vertAlign w:val="subscript"/>
          <w:lang w:val="en-US"/>
        </w:rPr>
        <w:t>JB</w:t>
      </w:r>
      <w:r w:rsidRPr="00C21AB1">
        <w:rPr>
          <w:lang w:val="en-US"/>
        </w:rPr>
        <w:t>) – (M</w:t>
      </w:r>
      <w:r w:rsidRPr="00C21AB1">
        <w:rPr>
          <w:vertAlign w:val="subscript"/>
          <w:lang w:val="en-US"/>
        </w:rPr>
        <w:t>SA</w:t>
      </w:r>
      <w:r w:rsidRPr="00C21AB1">
        <w:rPr>
          <w:lang w:val="en-US"/>
        </w:rPr>
        <w:t xml:space="preserve"> – M</w:t>
      </w:r>
      <w:r w:rsidRPr="00C21AB1">
        <w:rPr>
          <w:vertAlign w:val="subscript"/>
          <w:lang w:val="en-US"/>
        </w:rPr>
        <w:t>SB</w:t>
      </w:r>
      <w:r w:rsidRPr="00C21AB1">
        <w:rPr>
          <w:lang w:val="en-US"/>
        </w:rPr>
        <w:t>))/(S</w:t>
      </w:r>
      <w:r w:rsidRPr="00C21AB1">
        <w:rPr>
          <w:vertAlign w:val="subscript"/>
          <w:lang w:val="en-US"/>
        </w:rPr>
        <w:t>J</w:t>
      </w:r>
      <w:r w:rsidRPr="00C21AB1">
        <w:rPr>
          <w:vertAlign w:val="superscript"/>
          <w:lang w:val="en-US"/>
        </w:rPr>
        <w:t>2</w:t>
      </w:r>
      <w:r w:rsidRPr="00C21AB1">
        <w:rPr>
          <w:lang w:val="en-US"/>
        </w:rPr>
        <w:t>/N</w:t>
      </w:r>
      <w:r w:rsidRPr="00C21AB1">
        <w:rPr>
          <w:vertAlign w:val="subscript"/>
          <w:lang w:val="en-US"/>
        </w:rPr>
        <w:t>J</w:t>
      </w:r>
      <w:r w:rsidRPr="00C21AB1">
        <w:rPr>
          <w:lang w:val="en-US"/>
        </w:rPr>
        <w:t xml:space="preserve"> + S</w:t>
      </w:r>
      <w:r w:rsidRPr="00C21AB1">
        <w:rPr>
          <w:vertAlign w:val="subscript"/>
          <w:lang w:val="en-US"/>
        </w:rPr>
        <w:t>SA</w:t>
      </w:r>
      <w:r w:rsidRPr="00C21AB1">
        <w:rPr>
          <w:vertAlign w:val="superscript"/>
          <w:lang w:val="en-US"/>
        </w:rPr>
        <w:t>2</w:t>
      </w:r>
      <w:r w:rsidRPr="00C21AB1">
        <w:rPr>
          <w:lang w:val="en-US"/>
        </w:rPr>
        <w:t>/N</w:t>
      </w:r>
      <w:r w:rsidRPr="00C21AB1">
        <w:rPr>
          <w:vertAlign w:val="subscript"/>
          <w:lang w:val="en-US"/>
        </w:rPr>
        <w:t>SA</w:t>
      </w:r>
      <w:r w:rsidRPr="00C21AB1">
        <w:rPr>
          <w:lang w:val="en-US"/>
        </w:rPr>
        <w:t xml:space="preserve"> + S</w:t>
      </w:r>
      <w:r w:rsidRPr="00C21AB1">
        <w:rPr>
          <w:vertAlign w:val="subscript"/>
          <w:lang w:val="en-US"/>
        </w:rPr>
        <w:t>SB</w:t>
      </w:r>
      <w:r w:rsidRPr="00C21AB1">
        <w:rPr>
          <w:vertAlign w:val="superscript"/>
          <w:lang w:val="en-US"/>
        </w:rPr>
        <w:t>2</w:t>
      </w:r>
      <w:r w:rsidRPr="00C21AB1">
        <w:rPr>
          <w:lang w:val="en-US"/>
        </w:rPr>
        <w:t>/N</w:t>
      </w:r>
      <w:r w:rsidRPr="00C21AB1">
        <w:rPr>
          <w:vertAlign w:val="subscript"/>
          <w:lang w:val="en-US"/>
        </w:rPr>
        <w:t>SB</w:t>
      </w:r>
      <w:r w:rsidRPr="00C21AB1">
        <w:rPr>
          <w:lang w:val="en-US"/>
        </w:rPr>
        <w:t>)</w:t>
      </w:r>
      <w:r w:rsidRPr="00C21AB1">
        <w:rPr>
          <w:vertAlign w:val="superscript"/>
          <w:lang w:val="en-US"/>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39555" w14:textId="7C23069D" w:rsidR="008A4C73" w:rsidRDefault="008A4C73">
    <w:pPr>
      <w:pStyle w:val="Header"/>
      <w:jc w:val="right"/>
    </w:pPr>
  </w:p>
  <w:p w14:paraId="20454663" w14:textId="77777777" w:rsidR="008A4C73" w:rsidRDefault="008A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3C0"/>
    <w:multiLevelType w:val="hybridMultilevel"/>
    <w:tmpl w:val="BDDE9ACC"/>
    <w:lvl w:ilvl="0" w:tplc="CA580D9E">
      <w:start w:val="2"/>
      <w:numFmt w:val="decimal"/>
      <w:lvlText w:val="(%1)"/>
      <w:lvlJc w:val="left"/>
      <w:pPr>
        <w:ind w:left="1125" w:hanging="765"/>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62787D"/>
    <w:multiLevelType w:val="hybridMultilevel"/>
    <w:tmpl w:val="2DCC37D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04B165B"/>
    <w:multiLevelType w:val="hybridMultilevel"/>
    <w:tmpl w:val="7D0CD836"/>
    <w:lvl w:ilvl="0" w:tplc="698C951A">
      <w:start w:val="33"/>
      <w:numFmt w:val="bullet"/>
      <w:lvlText w:val=""/>
      <w:lvlJc w:val="left"/>
      <w:pPr>
        <w:ind w:left="720" w:hanging="360"/>
      </w:pPr>
      <w:rPr>
        <w:rFonts w:ascii="Wingdings" w:eastAsia="Calibri"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DD148D"/>
    <w:multiLevelType w:val="hybridMultilevel"/>
    <w:tmpl w:val="B92EA1E8"/>
    <w:lvl w:ilvl="0" w:tplc="D71CFC24">
      <w:start w:val="1"/>
      <w:numFmt w:val="decimal"/>
      <w:lvlText w:val="(%1)"/>
      <w:lvlJc w:val="left"/>
      <w:pPr>
        <w:ind w:left="1080" w:hanging="360"/>
      </w:pPr>
      <w:rPr>
        <w:rFonts w:hint="default"/>
        <w:sz w:val="24"/>
        <w:szCs w:val="24"/>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E3B50A6"/>
    <w:multiLevelType w:val="hybridMultilevel"/>
    <w:tmpl w:val="74DCBC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F9E0086"/>
    <w:multiLevelType w:val="hybridMultilevel"/>
    <w:tmpl w:val="5FE08DF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7638690">
    <w:abstractNumId w:val="5"/>
  </w:num>
  <w:num w:numId="2" w16cid:durableId="1397312954">
    <w:abstractNumId w:val="1"/>
  </w:num>
  <w:num w:numId="3" w16cid:durableId="1938977051">
    <w:abstractNumId w:val="4"/>
  </w:num>
  <w:num w:numId="4" w16cid:durableId="1398824700">
    <w:abstractNumId w:val="0"/>
  </w:num>
  <w:num w:numId="5" w16cid:durableId="1998264308">
    <w:abstractNumId w:val="3"/>
  </w:num>
  <w:num w:numId="6" w16cid:durableId="7325873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wMzSwNDWyMDe1MDNV0lEKTi0uzszPAykwqQUAfcu2qCwAAAA="/>
  </w:docVars>
  <w:rsids>
    <w:rsidRoot w:val="00BF3576"/>
    <w:rsid w:val="00000F17"/>
    <w:rsid w:val="00001479"/>
    <w:rsid w:val="000018D7"/>
    <w:rsid w:val="00001E6C"/>
    <w:rsid w:val="000035C2"/>
    <w:rsid w:val="00003814"/>
    <w:rsid w:val="00003B3F"/>
    <w:rsid w:val="00004012"/>
    <w:rsid w:val="00004ACC"/>
    <w:rsid w:val="00005906"/>
    <w:rsid w:val="00005D45"/>
    <w:rsid w:val="00005FA8"/>
    <w:rsid w:val="0000641C"/>
    <w:rsid w:val="000064B0"/>
    <w:rsid w:val="000073B7"/>
    <w:rsid w:val="000103CA"/>
    <w:rsid w:val="00010AB5"/>
    <w:rsid w:val="00010DBA"/>
    <w:rsid w:val="00011425"/>
    <w:rsid w:val="00011A8A"/>
    <w:rsid w:val="000121C9"/>
    <w:rsid w:val="000126D5"/>
    <w:rsid w:val="00012BD7"/>
    <w:rsid w:val="00012FA5"/>
    <w:rsid w:val="00014B38"/>
    <w:rsid w:val="000150CE"/>
    <w:rsid w:val="000167D6"/>
    <w:rsid w:val="0001792E"/>
    <w:rsid w:val="00017CE2"/>
    <w:rsid w:val="000205F5"/>
    <w:rsid w:val="00020FBD"/>
    <w:rsid w:val="000223B6"/>
    <w:rsid w:val="00022E86"/>
    <w:rsid w:val="00023179"/>
    <w:rsid w:val="000237C1"/>
    <w:rsid w:val="00023EED"/>
    <w:rsid w:val="0002438E"/>
    <w:rsid w:val="00024E85"/>
    <w:rsid w:val="00025615"/>
    <w:rsid w:val="00025B2E"/>
    <w:rsid w:val="00025DDA"/>
    <w:rsid w:val="00026CA6"/>
    <w:rsid w:val="00026F54"/>
    <w:rsid w:val="00026FBD"/>
    <w:rsid w:val="000305CD"/>
    <w:rsid w:val="00030C80"/>
    <w:rsid w:val="00030D69"/>
    <w:rsid w:val="000311B9"/>
    <w:rsid w:val="00031F8C"/>
    <w:rsid w:val="000321EC"/>
    <w:rsid w:val="00032A3B"/>
    <w:rsid w:val="000332D4"/>
    <w:rsid w:val="0003369F"/>
    <w:rsid w:val="000343FA"/>
    <w:rsid w:val="0003531A"/>
    <w:rsid w:val="00035911"/>
    <w:rsid w:val="00035D88"/>
    <w:rsid w:val="000366D2"/>
    <w:rsid w:val="000367B8"/>
    <w:rsid w:val="00036ABF"/>
    <w:rsid w:val="00037666"/>
    <w:rsid w:val="00037780"/>
    <w:rsid w:val="0003785E"/>
    <w:rsid w:val="00037D8B"/>
    <w:rsid w:val="00037E67"/>
    <w:rsid w:val="000405E8"/>
    <w:rsid w:val="00040CA2"/>
    <w:rsid w:val="00041595"/>
    <w:rsid w:val="0004180D"/>
    <w:rsid w:val="00041C4A"/>
    <w:rsid w:val="00041CE5"/>
    <w:rsid w:val="00041EC1"/>
    <w:rsid w:val="0004216E"/>
    <w:rsid w:val="00042779"/>
    <w:rsid w:val="00042F0A"/>
    <w:rsid w:val="000434D4"/>
    <w:rsid w:val="0004373E"/>
    <w:rsid w:val="0004383F"/>
    <w:rsid w:val="000452A1"/>
    <w:rsid w:val="00045B92"/>
    <w:rsid w:val="00045DC6"/>
    <w:rsid w:val="00046081"/>
    <w:rsid w:val="000468DC"/>
    <w:rsid w:val="00046EEE"/>
    <w:rsid w:val="00047FDB"/>
    <w:rsid w:val="00050505"/>
    <w:rsid w:val="00050AD5"/>
    <w:rsid w:val="00050F57"/>
    <w:rsid w:val="00051514"/>
    <w:rsid w:val="0005192D"/>
    <w:rsid w:val="00051988"/>
    <w:rsid w:val="00052008"/>
    <w:rsid w:val="0005224E"/>
    <w:rsid w:val="00053D77"/>
    <w:rsid w:val="00053EB3"/>
    <w:rsid w:val="0005521A"/>
    <w:rsid w:val="00055E29"/>
    <w:rsid w:val="00056657"/>
    <w:rsid w:val="00056A19"/>
    <w:rsid w:val="000572F4"/>
    <w:rsid w:val="0005752D"/>
    <w:rsid w:val="0005786D"/>
    <w:rsid w:val="00057A2B"/>
    <w:rsid w:val="00060DB4"/>
    <w:rsid w:val="000610FF"/>
    <w:rsid w:val="00061269"/>
    <w:rsid w:val="00061511"/>
    <w:rsid w:val="000617DD"/>
    <w:rsid w:val="00062062"/>
    <w:rsid w:val="000622C5"/>
    <w:rsid w:val="0006252C"/>
    <w:rsid w:val="000627DE"/>
    <w:rsid w:val="0006295E"/>
    <w:rsid w:val="00062DDA"/>
    <w:rsid w:val="0006309B"/>
    <w:rsid w:val="00063362"/>
    <w:rsid w:val="00063E60"/>
    <w:rsid w:val="000643BA"/>
    <w:rsid w:val="000644D2"/>
    <w:rsid w:val="000644D8"/>
    <w:rsid w:val="0006490D"/>
    <w:rsid w:val="00064CFF"/>
    <w:rsid w:val="0006503F"/>
    <w:rsid w:val="00065046"/>
    <w:rsid w:val="0006567F"/>
    <w:rsid w:val="0006572C"/>
    <w:rsid w:val="0006590E"/>
    <w:rsid w:val="000659C1"/>
    <w:rsid w:val="0006676E"/>
    <w:rsid w:val="0006689D"/>
    <w:rsid w:val="00066CDE"/>
    <w:rsid w:val="00067845"/>
    <w:rsid w:val="00067DA2"/>
    <w:rsid w:val="00067F1F"/>
    <w:rsid w:val="000702DE"/>
    <w:rsid w:val="00070847"/>
    <w:rsid w:val="00070B09"/>
    <w:rsid w:val="00070F2C"/>
    <w:rsid w:val="0007191E"/>
    <w:rsid w:val="000720F3"/>
    <w:rsid w:val="00072517"/>
    <w:rsid w:val="00072AAE"/>
    <w:rsid w:val="00072E51"/>
    <w:rsid w:val="0007304E"/>
    <w:rsid w:val="00073E5E"/>
    <w:rsid w:val="00074CDD"/>
    <w:rsid w:val="00074E6F"/>
    <w:rsid w:val="00075A66"/>
    <w:rsid w:val="00075E06"/>
    <w:rsid w:val="00075E37"/>
    <w:rsid w:val="00076636"/>
    <w:rsid w:val="000768E8"/>
    <w:rsid w:val="00077062"/>
    <w:rsid w:val="00077B3F"/>
    <w:rsid w:val="00077C25"/>
    <w:rsid w:val="00080509"/>
    <w:rsid w:val="0008083F"/>
    <w:rsid w:val="00080C4D"/>
    <w:rsid w:val="00081A42"/>
    <w:rsid w:val="00082A4C"/>
    <w:rsid w:val="00083DA5"/>
    <w:rsid w:val="000848D5"/>
    <w:rsid w:val="00084CC6"/>
    <w:rsid w:val="00084E8C"/>
    <w:rsid w:val="000850D4"/>
    <w:rsid w:val="00085548"/>
    <w:rsid w:val="00085E85"/>
    <w:rsid w:val="0008687D"/>
    <w:rsid w:val="00086AE0"/>
    <w:rsid w:val="00087015"/>
    <w:rsid w:val="00087DC3"/>
    <w:rsid w:val="00090F71"/>
    <w:rsid w:val="00091064"/>
    <w:rsid w:val="00091160"/>
    <w:rsid w:val="000912F0"/>
    <w:rsid w:val="000916BA"/>
    <w:rsid w:val="000928AA"/>
    <w:rsid w:val="00092A69"/>
    <w:rsid w:val="00093040"/>
    <w:rsid w:val="00093ED0"/>
    <w:rsid w:val="0009424B"/>
    <w:rsid w:val="00094336"/>
    <w:rsid w:val="0009609F"/>
    <w:rsid w:val="00096BEA"/>
    <w:rsid w:val="00097759"/>
    <w:rsid w:val="0009775B"/>
    <w:rsid w:val="00097A87"/>
    <w:rsid w:val="00097BFC"/>
    <w:rsid w:val="000A0B19"/>
    <w:rsid w:val="000A0BEE"/>
    <w:rsid w:val="000A0CCF"/>
    <w:rsid w:val="000A1A5B"/>
    <w:rsid w:val="000A20AE"/>
    <w:rsid w:val="000A3137"/>
    <w:rsid w:val="000A3210"/>
    <w:rsid w:val="000A3A33"/>
    <w:rsid w:val="000A3A89"/>
    <w:rsid w:val="000A44B0"/>
    <w:rsid w:val="000A47E4"/>
    <w:rsid w:val="000A6A0F"/>
    <w:rsid w:val="000A6C55"/>
    <w:rsid w:val="000A7CB5"/>
    <w:rsid w:val="000B18C5"/>
    <w:rsid w:val="000B1982"/>
    <w:rsid w:val="000B219B"/>
    <w:rsid w:val="000B226A"/>
    <w:rsid w:val="000B299F"/>
    <w:rsid w:val="000B2B3D"/>
    <w:rsid w:val="000B2C76"/>
    <w:rsid w:val="000B2D07"/>
    <w:rsid w:val="000B2D70"/>
    <w:rsid w:val="000B3AC5"/>
    <w:rsid w:val="000B437D"/>
    <w:rsid w:val="000B44D3"/>
    <w:rsid w:val="000B50DC"/>
    <w:rsid w:val="000B585E"/>
    <w:rsid w:val="000B6079"/>
    <w:rsid w:val="000B608F"/>
    <w:rsid w:val="000B68E3"/>
    <w:rsid w:val="000B6BB7"/>
    <w:rsid w:val="000C0568"/>
    <w:rsid w:val="000C05E4"/>
    <w:rsid w:val="000C0DC5"/>
    <w:rsid w:val="000C1D16"/>
    <w:rsid w:val="000C1DE8"/>
    <w:rsid w:val="000C27F3"/>
    <w:rsid w:val="000C2C21"/>
    <w:rsid w:val="000C30F7"/>
    <w:rsid w:val="000C3964"/>
    <w:rsid w:val="000C3C72"/>
    <w:rsid w:val="000C404A"/>
    <w:rsid w:val="000C44C6"/>
    <w:rsid w:val="000C4F53"/>
    <w:rsid w:val="000C52EC"/>
    <w:rsid w:val="000C5624"/>
    <w:rsid w:val="000C70C9"/>
    <w:rsid w:val="000C76AB"/>
    <w:rsid w:val="000C7CCE"/>
    <w:rsid w:val="000D0321"/>
    <w:rsid w:val="000D0AFB"/>
    <w:rsid w:val="000D17B0"/>
    <w:rsid w:val="000D1B9D"/>
    <w:rsid w:val="000D1F06"/>
    <w:rsid w:val="000D26D8"/>
    <w:rsid w:val="000D2A73"/>
    <w:rsid w:val="000D2D46"/>
    <w:rsid w:val="000D2E00"/>
    <w:rsid w:val="000D3222"/>
    <w:rsid w:val="000D3CBF"/>
    <w:rsid w:val="000D4E19"/>
    <w:rsid w:val="000D4EEE"/>
    <w:rsid w:val="000D549A"/>
    <w:rsid w:val="000D5C2A"/>
    <w:rsid w:val="000D6F10"/>
    <w:rsid w:val="000D7B6F"/>
    <w:rsid w:val="000D7EF3"/>
    <w:rsid w:val="000E02D9"/>
    <w:rsid w:val="000E0359"/>
    <w:rsid w:val="000E0FD5"/>
    <w:rsid w:val="000E15C5"/>
    <w:rsid w:val="000E18FF"/>
    <w:rsid w:val="000E1D6D"/>
    <w:rsid w:val="000E20CB"/>
    <w:rsid w:val="000E2626"/>
    <w:rsid w:val="000E2A09"/>
    <w:rsid w:val="000E2BF1"/>
    <w:rsid w:val="000E2F66"/>
    <w:rsid w:val="000E320D"/>
    <w:rsid w:val="000E564D"/>
    <w:rsid w:val="000E5938"/>
    <w:rsid w:val="000E5A06"/>
    <w:rsid w:val="000E5BE0"/>
    <w:rsid w:val="000E6228"/>
    <w:rsid w:val="000E6251"/>
    <w:rsid w:val="000E6D40"/>
    <w:rsid w:val="000E7CCE"/>
    <w:rsid w:val="000E7E5C"/>
    <w:rsid w:val="000F052F"/>
    <w:rsid w:val="000F1855"/>
    <w:rsid w:val="000F19B6"/>
    <w:rsid w:val="000F24BF"/>
    <w:rsid w:val="000F2563"/>
    <w:rsid w:val="000F2BE0"/>
    <w:rsid w:val="000F31F9"/>
    <w:rsid w:val="000F3A83"/>
    <w:rsid w:val="000F3DFB"/>
    <w:rsid w:val="000F3E21"/>
    <w:rsid w:val="000F5849"/>
    <w:rsid w:val="000F619C"/>
    <w:rsid w:val="000F7961"/>
    <w:rsid w:val="001005C3"/>
    <w:rsid w:val="00100712"/>
    <w:rsid w:val="00101822"/>
    <w:rsid w:val="00101F12"/>
    <w:rsid w:val="001022F4"/>
    <w:rsid w:val="00103941"/>
    <w:rsid w:val="00103EA1"/>
    <w:rsid w:val="00104F25"/>
    <w:rsid w:val="00107049"/>
    <w:rsid w:val="0011080E"/>
    <w:rsid w:val="001108C7"/>
    <w:rsid w:val="00111231"/>
    <w:rsid w:val="00111D5F"/>
    <w:rsid w:val="0011267F"/>
    <w:rsid w:val="00112960"/>
    <w:rsid w:val="00112BB8"/>
    <w:rsid w:val="001133B1"/>
    <w:rsid w:val="00113BBC"/>
    <w:rsid w:val="00116339"/>
    <w:rsid w:val="0011657B"/>
    <w:rsid w:val="00116A1A"/>
    <w:rsid w:val="00116A44"/>
    <w:rsid w:val="001200DA"/>
    <w:rsid w:val="00120DE0"/>
    <w:rsid w:val="00121782"/>
    <w:rsid w:val="00121D5F"/>
    <w:rsid w:val="00121E06"/>
    <w:rsid w:val="001230B4"/>
    <w:rsid w:val="00123109"/>
    <w:rsid w:val="00123A5C"/>
    <w:rsid w:val="001240BF"/>
    <w:rsid w:val="001241CB"/>
    <w:rsid w:val="00124C76"/>
    <w:rsid w:val="00125738"/>
    <w:rsid w:val="00125A26"/>
    <w:rsid w:val="00125BC2"/>
    <w:rsid w:val="0012715C"/>
    <w:rsid w:val="001273EF"/>
    <w:rsid w:val="001277AC"/>
    <w:rsid w:val="001277E0"/>
    <w:rsid w:val="00130148"/>
    <w:rsid w:val="001303DD"/>
    <w:rsid w:val="00130615"/>
    <w:rsid w:val="001309FF"/>
    <w:rsid w:val="00130A00"/>
    <w:rsid w:val="00130AC5"/>
    <w:rsid w:val="00132903"/>
    <w:rsid w:val="0013303C"/>
    <w:rsid w:val="0013328B"/>
    <w:rsid w:val="0013364E"/>
    <w:rsid w:val="00134A96"/>
    <w:rsid w:val="0013522D"/>
    <w:rsid w:val="0013584D"/>
    <w:rsid w:val="00135ED0"/>
    <w:rsid w:val="0013654D"/>
    <w:rsid w:val="00136CB5"/>
    <w:rsid w:val="00137194"/>
    <w:rsid w:val="001415DF"/>
    <w:rsid w:val="00141678"/>
    <w:rsid w:val="0014173B"/>
    <w:rsid w:val="00142BD0"/>
    <w:rsid w:val="00143EAF"/>
    <w:rsid w:val="00144139"/>
    <w:rsid w:val="001443D7"/>
    <w:rsid w:val="00144A97"/>
    <w:rsid w:val="00144C47"/>
    <w:rsid w:val="00145585"/>
    <w:rsid w:val="0014717F"/>
    <w:rsid w:val="00147356"/>
    <w:rsid w:val="00147385"/>
    <w:rsid w:val="00147F43"/>
    <w:rsid w:val="001518B4"/>
    <w:rsid w:val="0015193D"/>
    <w:rsid w:val="00153021"/>
    <w:rsid w:val="00154291"/>
    <w:rsid w:val="001548E0"/>
    <w:rsid w:val="0015586B"/>
    <w:rsid w:val="001560AE"/>
    <w:rsid w:val="00156373"/>
    <w:rsid w:val="00157A22"/>
    <w:rsid w:val="00160818"/>
    <w:rsid w:val="00160B1E"/>
    <w:rsid w:val="00160C25"/>
    <w:rsid w:val="001612D0"/>
    <w:rsid w:val="00161CA7"/>
    <w:rsid w:val="001622D2"/>
    <w:rsid w:val="00163BB4"/>
    <w:rsid w:val="001640B2"/>
    <w:rsid w:val="0016474F"/>
    <w:rsid w:val="00165860"/>
    <w:rsid w:val="00165DB2"/>
    <w:rsid w:val="0016644B"/>
    <w:rsid w:val="001667D8"/>
    <w:rsid w:val="001667F2"/>
    <w:rsid w:val="00167186"/>
    <w:rsid w:val="001710EE"/>
    <w:rsid w:val="00171475"/>
    <w:rsid w:val="00171F88"/>
    <w:rsid w:val="00172172"/>
    <w:rsid w:val="001721D4"/>
    <w:rsid w:val="001724E8"/>
    <w:rsid w:val="001724F8"/>
    <w:rsid w:val="001729BF"/>
    <w:rsid w:val="00173829"/>
    <w:rsid w:val="00174B2D"/>
    <w:rsid w:val="001751C7"/>
    <w:rsid w:val="00175CDD"/>
    <w:rsid w:val="00176428"/>
    <w:rsid w:val="00176583"/>
    <w:rsid w:val="00176851"/>
    <w:rsid w:val="00176E0E"/>
    <w:rsid w:val="001771D4"/>
    <w:rsid w:val="00180BBD"/>
    <w:rsid w:val="00181321"/>
    <w:rsid w:val="001814D2"/>
    <w:rsid w:val="001815BF"/>
    <w:rsid w:val="00181DE5"/>
    <w:rsid w:val="001822F7"/>
    <w:rsid w:val="001828B8"/>
    <w:rsid w:val="00182A04"/>
    <w:rsid w:val="00182D60"/>
    <w:rsid w:val="00183513"/>
    <w:rsid w:val="00183929"/>
    <w:rsid w:val="00184131"/>
    <w:rsid w:val="001847A6"/>
    <w:rsid w:val="0018527D"/>
    <w:rsid w:val="001858EF"/>
    <w:rsid w:val="00185DE4"/>
    <w:rsid w:val="00185E43"/>
    <w:rsid w:val="00186751"/>
    <w:rsid w:val="0018680E"/>
    <w:rsid w:val="00186967"/>
    <w:rsid w:val="00186E98"/>
    <w:rsid w:val="00186FBF"/>
    <w:rsid w:val="001900CD"/>
    <w:rsid w:val="0019049F"/>
    <w:rsid w:val="0019104F"/>
    <w:rsid w:val="00191789"/>
    <w:rsid w:val="00191D57"/>
    <w:rsid w:val="001925BC"/>
    <w:rsid w:val="00192A6A"/>
    <w:rsid w:val="00193F1E"/>
    <w:rsid w:val="00193FF6"/>
    <w:rsid w:val="0019556D"/>
    <w:rsid w:val="00196373"/>
    <w:rsid w:val="00196653"/>
    <w:rsid w:val="001972AC"/>
    <w:rsid w:val="001975D4"/>
    <w:rsid w:val="001A0097"/>
    <w:rsid w:val="001A016F"/>
    <w:rsid w:val="001A07A1"/>
    <w:rsid w:val="001A132E"/>
    <w:rsid w:val="001A1B2A"/>
    <w:rsid w:val="001A1F8C"/>
    <w:rsid w:val="001A225E"/>
    <w:rsid w:val="001A276B"/>
    <w:rsid w:val="001A34FC"/>
    <w:rsid w:val="001A351E"/>
    <w:rsid w:val="001A3779"/>
    <w:rsid w:val="001A5000"/>
    <w:rsid w:val="001A5379"/>
    <w:rsid w:val="001A5494"/>
    <w:rsid w:val="001A55C4"/>
    <w:rsid w:val="001A580E"/>
    <w:rsid w:val="001A5AC4"/>
    <w:rsid w:val="001A7316"/>
    <w:rsid w:val="001B000E"/>
    <w:rsid w:val="001B028D"/>
    <w:rsid w:val="001B086A"/>
    <w:rsid w:val="001B1CC5"/>
    <w:rsid w:val="001B1DC5"/>
    <w:rsid w:val="001B1DE8"/>
    <w:rsid w:val="001B36AB"/>
    <w:rsid w:val="001B40BF"/>
    <w:rsid w:val="001B42A3"/>
    <w:rsid w:val="001B5361"/>
    <w:rsid w:val="001B5869"/>
    <w:rsid w:val="001B623A"/>
    <w:rsid w:val="001B744D"/>
    <w:rsid w:val="001B74B6"/>
    <w:rsid w:val="001B79F1"/>
    <w:rsid w:val="001B7D4E"/>
    <w:rsid w:val="001C0852"/>
    <w:rsid w:val="001C094D"/>
    <w:rsid w:val="001C0A31"/>
    <w:rsid w:val="001C213A"/>
    <w:rsid w:val="001C4975"/>
    <w:rsid w:val="001C4AD0"/>
    <w:rsid w:val="001C5030"/>
    <w:rsid w:val="001C51E8"/>
    <w:rsid w:val="001C56E3"/>
    <w:rsid w:val="001C626D"/>
    <w:rsid w:val="001C663C"/>
    <w:rsid w:val="001C71DA"/>
    <w:rsid w:val="001C7329"/>
    <w:rsid w:val="001C74ED"/>
    <w:rsid w:val="001C77FC"/>
    <w:rsid w:val="001D1512"/>
    <w:rsid w:val="001D1930"/>
    <w:rsid w:val="001D195B"/>
    <w:rsid w:val="001D26AA"/>
    <w:rsid w:val="001D3335"/>
    <w:rsid w:val="001D3504"/>
    <w:rsid w:val="001D47C1"/>
    <w:rsid w:val="001D5613"/>
    <w:rsid w:val="001D5DBB"/>
    <w:rsid w:val="001D5F81"/>
    <w:rsid w:val="001D6E0B"/>
    <w:rsid w:val="001D71C8"/>
    <w:rsid w:val="001D729C"/>
    <w:rsid w:val="001D7605"/>
    <w:rsid w:val="001D7746"/>
    <w:rsid w:val="001D77D3"/>
    <w:rsid w:val="001E0542"/>
    <w:rsid w:val="001E0DF4"/>
    <w:rsid w:val="001E0EE4"/>
    <w:rsid w:val="001E1220"/>
    <w:rsid w:val="001E252F"/>
    <w:rsid w:val="001E2DCE"/>
    <w:rsid w:val="001E33B1"/>
    <w:rsid w:val="001E46DE"/>
    <w:rsid w:val="001E4F18"/>
    <w:rsid w:val="001E5437"/>
    <w:rsid w:val="001E5C13"/>
    <w:rsid w:val="001E5E8B"/>
    <w:rsid w:val="001E75AA"/>
    <w:rsid w:val="001F072E"/>
    <w:rsid w:val="001F1618"/>
    <w:rsid w:val="001F1B1A"/>
    <w:rsid w:val="001F1F58"/>
    <w:rsid w:val="001F29C1"/>
    <w:rsid w:val="001F2D46"/>
    <w:rsid w:val="001F3246"/>
    <w:rsid w:val="001F3647"/>
    <w:rsid w:val="001F452D"/>
    <w:rsid w:val="001F4902"/>
    <w:rsid w:val="001F52E5"/>
    <w:rsid w:val="001F5D13"/>
    <w:rsid w:val="001F635E"/>
    <w:rsid w:val="001F6439"/>
    <w:rsid w:val="001F680B"/>
    <w:rsid w:val="001F6DBF"/>
    <w:rsid w:val="001F6E23"/>
    <w:rsid w:val="001F72F7"/>
    <w:rsid w:val="001F7934"/>
    <w:rsid w:val="0020052B"/>
    <w:rsid w:val="002005C3"/>
    <w:rsid w:val="00200A1B"/>
    <w:rsid w:val="00201437"/>
    <w:rsid w:val="002014F6"/>
    <w:rsid w:val="00202903"/>
    <w:rsid w:val="00202B9D"/>
    <w:rsid w:val="00202F3A"/>
    <w:rsid w:val="00203D3F"/>
    <w:rsid w:val="00203D96"/>
    <w:rsid w:val="00204D19"/>
    <w:rsid w:val="00204F0E"/>
    <w:rsid w:val="00205E74"/>
    <w:rsid w:val="00206117"/>
    <w:rsid w:val="00207C57"/>
    <w:rsid w:val="002108CD"/>
    <w:rsid w:val="00210D17"/>
    <w:rsid w:val="00210F7F"/>
    <w:rsid w:val="00211F06"/>
    <w:rsid w:val="002120E9"/>
    <w:rsid w:val="002145F7"/>
    <w:rsid w:val="00214B8B"/>
    <w:rsid w:val="00215149"/>
    <w:rsid w:val="002153E5"/>
    <w:rsid w:val="0021630C"/>
    <w:rsid w:val="002172F1"/>
    <w:rsid w:val="002179BA"/>
    <w:rsid w:val="00217FA6"/>
    <w:rsid w:val="002209D6"/>
    <w:rsid w:val="002213A1"/>
    <w:rsid w:val="002229D7"/>
    <w:rsid w:val="00223208"/>
    <w:rsid w:val="0022377C"/>
    <w:rsid w:val="0022384A"/>
    <w:rsid w:val="00223946"/>
    <w:rsid w:val="002249FA"/>
    <w:rsid w:val="002250C5"/>
    <w:rsid w:val="0022538F"/>
    <w:rsid w:val="0022579F"/>
    <w:rsid w:val="00227706"/>
    <w:rsid w:val="00227B97"/>
    <w:rsid w:val="00227ED0"/>
    <w:rsid w:val="002306D3"/>
    <w:rsid w:val="00231244"/>
    <w:rsid w:val="00231839"/>
    <w:rsid w:val="002321A7"/>
    <w:rsid w:val="00232565"/>
    <w:rsid w:val="00232FFB"/>
    <w:rsid w:val="002338F1"/>
    <w:rsid w:val="0023426E"/>
    <w:rsid w:val="0023427C"/>
    <w:rsid w:val="00234984"/>
    <w:rsid w:val="00234DA3"/>
    <w:rsid w:val="00234E18"/>
    <w:rsid w:val="00234E21"/>
    <w:rsid w:val="00235161"/>
    <w:rsid w:val="00235393"/>
    <w:rsid w:val="002354D8"/>
    <w:rsid w:val="00235646"/>
    <w:rsid w:val="002362D2"/>
    <w:rsid w:val="00236E40"/>
    <w:rsid w:val="002373EC"/>
    <w:rsid w:val="00241DC5"/>
    <w:rsid w:val="00241ED8"/>
    <w:rsid w:val="00243820"/>
    <w:rsid w:val="00243BAA"/>
    <w:rsid w:val="00243BB1"/>
    <w:rsid w:val="00244B2C"/>
    <w:rsid w:val="00244DAF"/>
    <w:rsid w:val="00244FE8"/>
    <w:rsid w:val="002452A5"/>
    <w:rsid w:val="0024548C"/>
    <w:rsid w:val="00245653"/>
    <w:rsid w:val="00246BBA"/>
    <w:rsid w:val="00246ED9"/>
    <w:rsid w:val="00247965"/>
    <w:rsid w:val="00247F47"/>
    <w:rsid w:val="002504D7"/>
    <w:rsid w:val="00250635"/>
    <w:rsid w:val="0025183D"/>
    <w:rsid w:val="00252287"/>
    <w:rsid w:val="0025255A"/>
    <w:rsid w:val="00252572"/>
    <w:rsid w:val="0025266B"/>
    <w:rsid w:val="00253111"/>
    <w:rsid w:val="0025358F"/>
    <w:rsid w:val="00253CAE"/>
    <w:rsid w:val="002549D3"/>
    <w:rsid w:val="00254D6F"/>
    <w:rsid w:val="0025590A"/>
    <w:rsid w:val="00255AA0"/>
    <w:rsid w:val="00256239"/>
    <w:rsid w:val="00257550"/>
    <w:rsid w:val="002607F5"/>
    <w:rsid w:val="0026081A"/>
    <w:rsid w:val="0026103A"/>
    <w:rsid w:val="0026111E"/>
    <w:rsid w:val="0026118E"/>
    <w:rsid w:val="00261B8F"/>
    <w:rsid w:val="002620CA"/>
    <w:rsid w:val="002621C8"/>
    <w:rsid w:val="00263399"/>
    <w:rsid w:val="002642F1"/>
    <w:rsid w:val="00264834"/>
    <w:rsid w:val="002648C8"/>
    <w:rsid w:val="002648E1"/>
    <w:rsid w:val="00264EFA"/>
    <w:rsid w:val="00265A15"/>
    <w:rsid w:val="00265D32"/>
    <w:rsid w:val="00265F58"/>
    <w:rsid w:val="00266212"/>
    <w:rsid w:val="00266989"/>
    <w:rsid w:val="0026721C"/>
    <w:rsid w:val="0026730C"/>
    <w:rsid w:val="00267F71"/>
    <w:rsid w:val="00270124"/>
    <w:rsid w:val="002703AB"/>
    <w:rsid w:val="002707A0"/>
    <w:rsid w:val="00270D0A"/>
    <w:rsid w:val="002713D9"/>
    <w:rsid w:val="00271800"/>
    <w:rsid w:val="00271AE4"/>
    <w:rsid w:val="0027231E"/>
    <w:rsid w:val="002729BC"/>
    <w:rsid w:val="002733D0"/>
    <w:rsid w:val="00276928"/>
    <w:rsid w:val="00276CF5"/>
    <w:rsid w:val="00276F3E"/>
    <w:rsid w:val="00277BA0"/>
    <w:rsid w:val="00277F78"/>
    <w:rsid w:val="00280175"/>
    <w:rsid w:val="00280340"/>
    <w:rsid w:val="002809DD"/>
    <w:rsid w:val="002810FA"/>
    <w:rsid w:val="0028163E"/>
    <w:rsid w:val="0028202A"/>
    <w:rsid w:val="00282627"/>
    <w:rsid w:val="002829CC"/>
    <w:rsid w:val="00282A96"/>
    <w:rsid w:val="00282E83"/>
    <w:rsid w:val="00282EEF"/>
    <w:rsid w:val="00283343"/>
    <w:rsid w:val="002835F5"/>
    <w:rsid w:val="00283D6D"/>
    <w:rsid w:val="00284443"/>
    <w:rsid w:val="00284AF7"/>
    <w:rsid w:val="00285700"/>
    <w:rsid w:val="002860DA"/>
    <w:rsid w:val="00286263"/>
    <w:rsid w:val="00286523"/>
    <w:rsid w:val="00286A7A"/>
    <w:rsid w:val="00286E0C"/>
    <w:rsid w:val="00286F85"/>
    <w:rsid w:val="00287CB9"/>
    <w:rsid w:val="00287F14"/>
    <w:rsid w:val="0029011F"/>
    <w:rsid w:val="00290511"/>
    <w:rsid w:val="002911A6"/>
    <w:rsid w:val="002929AF"/>
    <w:rsid w:val="00292C77"/>
    <w:rsid w:val="00293C06"/>
    <w:rsid w:val="00294252"/>
    <w:rsid w:val="0029433A"/>
    <w:rsid w:val="002945E5"/>
    <w:rsid w:val="002949E9"/>
    <w:rsid w:val="00294A10"/>
    <w:rsid w:val="00294F81"/>
    <w:rsid w:val="00296760"/>
    <w:rsid w:val="00297904"/>
    <w:rsid w:val="00297B16"/>
    <w:rsid w:val="002A2564"/>
    <w:rsid w:val="002A372C"/>
    <w:rsid w:val="002A3E9B"/>
    <w:rsid w:val="002A4202"/>
    <w:rsid w:val="002A54F8"/>
    <w:rsid w:val="002A56AA"/>
    <w:rsid w:val="002A573F"/>
    <w:rsid w:val="002A58C7"/>
    <w:rsid w:val="002A5F86"/>
    <w:rsid w:val="002A6CC9"/>
    <w:rsid w:val="002A6CDD"/>
    <w:rsid w:val="002A71CE"/>
    <w:rsid w:val="002B0C56"/>
    <w:rsid w:val="002B0D8C"/>
    <w:rsid w:val="002B179B"/>
    <w:rsid w:val="002B2509"/>
    <w:rsid w:val="002B34D1"/>
    <w:rsid w:val="002B3CBD"/>
    <w:rsid w:val="002B3FC2"/>
    <w:rsid w:val="002B524D"/>
    <w:rsid w:val="002B58C0"/>
    <w:rsid w:val="002B5D54"/>
    <w:rsid w:val="002C052C"/>
    <w:rsid w:val="002C274B"/>
    <w:rsid w:val="002C2CB7"/>
    <w:rsid w:val="002C31B4"/>
    <w:rsid w:val="002C355F"/>
    <w:rsid w:val="002C3A1B"/>
    <w:rsid w:val="002C3CB8"/>
    <w:rsid w:val="002C3D6E"/>
    <w:rsid w:val="002C438B"/>
    <w:rsid w:val="002C4484"/>
    <w:rsid w:val="002C4D93"/>
    <w:rsid w:val="002C59DC"/>
    <w:rsid w:val="002C615F"/>
    <w:rsid w:val="002C63D8"/>
    <w:rsid w:val="002C6BA0"/>
    <w:rsid w:val="002C7235"/>
    <w:rsid w:val="002C7B31"/>
    <w:rsid w:val="002D0C08"/>
    <w:rsid w:val="002D1A7E"/>
    <w:rsid w:val="002D1C00"/>
    <w:rsid w:val="002D233C"/>
    <w:rsid w:val="002D2756"/>
    <w:rsid w:val="002D3346"/>
    <w:rsid w:val="002D3648"/>
    <w:rsid w:val="002D3F4D"/>
    <w:rsid w:val="002D4C45"/>
    <w:rsid w:val="002D5097"/>
    <w:rsid w:val="002D5312"/>
    <w:rsid w:val="002D596C"/>
    <w:rsid w:val="002D6431"/>
    <w:rsid w:val="002D65A6"/>
    <w:rsid w:val="002D772D"/>
    <w:rsid w:val="002D79EA"/>
    <w:rsid w:val="002D7DFE"/>
    <w:rsid w:val="002E03F3"/>
    <w:rsid w:val="002E119C"/>
    <w:rsid w:val="002E2077"/>
    <w:rsid w:val="002E20D9"/>
    <w:rsid w:val="002E2293"/>
    <w:rsid w:val="002E2528"/>
    <w:rsid w:val="002E2DCE"/>
    <w:rsid w:val="002E369D"/>
    <w:rsid w:val="002E5539"/>
    <w:rsid w:val="002E55D3"/>
    <w:rsid w:val="002E55DD"/>
    <w:rsid w:val="002E5B71"/>
    <w:rsid w:val="002E5F17"/>
    <w:rsid w:val="002E74BE"/>
    <w:rsid w:val="002E76C1"/>
    <w:rsid w:val="002F0430"/>
    <w:rsid w:val="002F0445"/>
    <w:rsid w:val="002F07F2"/>
    <w:rsid w:val="002F0AAB"/>
    <w:rsid w:val="002F1113"/>
    <w:rsid w:val="002F1DEA"/>
    <w:rsid w:val="002F2E1B"/>
    <w:rsid w:val="002F32C9"/>
    <w:rsid w:val="002F3560"/>
    <w:rsid w:val="002F3566"/>
    <w:rsid w:val="002F3583"/>
    <w:rsid w:val="002F3E08"/>
    <w:rsid w:val="002F43DE"/>
    <w:rsid w:val="002F440F"/>
    <w:rsid w:val="002F48DC"/>
    <w:rsid w:val="002F4D52"/>
    <w:rsid w:val="002F5430"/>
    <w:rsid w:val="002F5793"/>
    <w:rsid w:val="002F6295"/>
    <w:rsid w:val="002F63A7"/>
    <w:rsid w:val="002F6930"/>
    <w:rsid w:val="002F69D8"/>
    <w:rsid w:val="002F6E57"/>
    <w:rsid w:val="002F719C"/>
    <w:rsid w:val="002F72A1"/>
    <w:rsid w:val="002F741E"/>
    <w:rsid w:val="002F79D5"/>
    <w:rsid w:val="002F7A7F"/>
    <w:rsid w:val="002F7F6F"/>
    <w:rsid w:val="0030097A"/>
    <w:rsid w:val="00301597"/>
    <w:rsid w:val="00301F25"/>
    <w:rsid w:val="00304F77"/>
    <w:rsid w:val="00305E04"/>
    <w:rsid w:val="003060CB"/>
    <w:rsid w:val="003066AD"/>
    <w:rsid w:val="00306894"/>
    <w:rsid w:val="003079A4"/>
    <w:rsid w:val="00310449"/>
    <w:rsid w:val="00310C8D"/>
    <w:rsid w:val="003117F2"/>
    <w:rsid w:val="00312C5D"/>
    <w:rsid w:val="0031341E"/>
    <w:rsid w:val="00314F82"/>
    <w:rsid w:val="00315150"/>
    <w:rsid w:val="0031668B"/>
    <w:rsid w:val="00316C0C"/>
    <w:rsid w:val="00316F6A"/>
    <w:rsid w:val="003170C9"/>
    <w:rsid w:val="00317165"/>
    <w:rsid w:val="003206F7"/>
    <w:rsid w:val="00320B91"/>
    <w:rsid w:val="00321CB8"/>
    <w:rsid w:val="00322012"/>
    <w:rsid w:val="00322042"/>
    <w:rsid w:val="003224F5"/>
    <w:rsid w:val="00322BCA"/>
    <w:rsid w:val="00322C24"/>
    <w:rsid w:val="00323B08"/>
    <w:rsid w:val="00323BF2"/>
    <w:rsid w:val="0032485C"/>
    <w:rsid w:val="00325ADB"/>
    <w:rsid w:val="003263F3"/>
    <w:rsid w:val="003265F6"/>
    <w:rsid w:val="00326DFF"/>
    <w:rsid w:val="00326F3A"/>
    <w:rsid w:val="003278F8"/>
    <w:rsid w:val="0033088D"/>
    <w:rsid w:val="0033329F"/>
    <w:rsid w:val="00333D55"/>
    <w:rsid w:val="0033479C"/>
    <w:rsid w:val="0033680F"/>
    <w:rsid w:val="00336E89"/>
    <w:rsid w:val="00336F3A"/>
    <w:rsid w:val="0033713A"/>
    <w:rsid w:val="00337301"/>
    <w:rsid w:val="00337B99"/>
    <w:rsid w:val="00340D45"/>
    <w:rsid w:val="00340FF9"/>
    <w:rsid w:val="00341F8C"/>
    <w:rsid w:val="003422BB"/>
    <w:rsid w:val="00342786"/>
    <w:rsid w:val="0034289B"/>
    <w:rsid w:val="00342D76"/>
    <w:rsid w:val="00343080"/>
    <w:rsid w:val="003433AD"/>
    <w:rsid w:val="00343C95"/>
    <w:rsid w:val="00343D74"/>
    <w:rsid w:val="00343ED2"/>
    <w:rsid w:val="00343F42"/>
    <w:rsid w:val="00344E8A"/>
    <w:rsid w:val="003455AA"/>
    <w:rsid w:val="003458DD"/>
    <w:rsid w:val="003474F9"/>
    <w:rsid w:val="00347B4E"/>
    <w:rsid w:val="0035069D"/>
    <w:rsid w:val="003506D3"/>
    <w:rsid w:val="00350880"/>
    <w:rsid w:val="00350A1C"/>
    <w:rsid w:val="00350F01"/>
    <w:rsid w:val="0035192F"/>
    <w:rsid w:val="00351AFD"/>
    <w:rsid w:val="00352E8F"/>
    <w:rsid w:val="0035338C"/>
    <w:rsid w:val="003537C0"/>
    <w:rsid w:val="0035440B"/>
    <w:rsid w:val="0035503B"/>
    <w:rsid w:val="00355B00"/>
    <w:rsid w:val="00355EBC"/>
    <w:rsid w:val="0035613C"/>
    <w:rsid w:val="00356D4F"/>
    <w:rsid w:val="00360B99"/>
    <w:rsid w:val="00360CA8"/>
    <w:rsid w:val="00360E9D"/>
    <w:rsid w:val="003614E9"/>
    <w:rsid w:val="00361946"/>
    <w:rsid w:val="00362DF5"/>
    <w:rsid w:val="003638CD"/>
    <w:rsid w:val="00363957"/>
    <w:rsid w:val="00364367"/>
    <w:rsid w:val="00364589"/>
    <w:rsid w:val="00365319"/>
    <w:rsid w:val="00365714"/>
    <w:rsid w:val="003657BB"/>
    <w:rsid w:val="0036594E"/>
    <w:rsid w:val="00366248"/>
    <w:rsid w:val="00370839"/>
    <w:rsid w:val="00370DD8"/>
    <w:rsid w:val="00370DDF"/>
    <w:rsid w:val="003712AB"/>
    <w:rsid w:val="003714CC"/>
    <w:rsid w:val="00371889"/>
    <w:rsid w:val="0037247D"/>
    <w:rsid w:val="00372984"/>
    <w:rsid w:val="00373925"/>
    <w:rsid w:val="00374B57"/>
    <w:rsid w:val="00376966"/>
    <w:rsid w:val="003769F0"/>
    <w:rsid w:val="00376C88"/>
    <w:rsid w:val="003771F7"/>
    <w:rsid w:val="003774B5"/>
    <w:rsid w:val="003802D4"/>
    <w:rsid w:val="00380343"/>
    <w:rsid w:val="00380956"/>
    <w:rsid w:val="00381210"/>
    <w:rsid w:val="00381CFE"/>
    <w:rsid w:val="003826B5"/>
    <w:rsid w:val="00382D33"/>
    <w:rsid w:val="003834DC"/>
    <w:rsid w:val="00383591"/>
    <w:rsid w:val="00383DCD"/>
    <w:rsid w:val="00384E3A"/>
    <w:rsid w:val="00386243"/>
    <w:rsid w:val="00386C21"/>
    <w:rsid w:val="00387428"/>
    <w:rsid w:val="0038791D"/>
    <w:rsid w:val="00387AB4"/>
    <w:rsid w:val="00390353"/>
    <w:rsid w:val="00390C89"/>
    <w:rsid w:val="00391D52"/>
    <w:rsid w:val="0039215C"/>
    <w:rsid w:val="00392372"/>
    <w:rsid w:val="003927F5"/>
    <w:rsid w:val="00392C20"/>
    <w:rsid w:val="00393F9A"/>
    <w:rsid w:val="003943F2"/>
    <w:rsid w:val="003950A1"/>
    <w:rsid w:val="003953D8"/>
    <w:rsid w:val="0039565E"/>
    <w:rsid w:val="003956F2"/>
    <w:rsid w:val="00395C61"/>
    <w:rsid w:val="00395D85"/>
    <w:rsid w:val="00396BBA"/>
    <w:rsid w:val="00396C2A"/>
    <w:rsid w:val="00396EDD"/>
    <w:rsid w:val="00396F93"/>
    <w:rsid w:val="003A0073"/>
    <w:rsid w:val="003A00B8"/>
    <w:rsid w:val="003A0C88"/>
    <w:rsid w:val="003A0DC3"/>
    <w:rsid w:val="003A0E9B"/>
    <w:rsid w:val="003A101D"/>
    <w:rsid w:val="003A1042"/>
    <w:rsid w:val="003A10C8"/>
    <w:rsid w:val="003A12DD"/>
    <w:rsid w:val="003A2D9A"/>
    <w:rsid w:val="003A379B"/>
    <w:rsid w:val="003A3A56"/>
    <w:rsid w:val="003A3FB7"/>
    <w:rsid w:val="003A41EC"/>
    <w:rsid w:val="003A4A5E"/>
    <w:rsid w:val="003A4A87"/>
    <w:rsid w:val="003A4BBE"/>
    <w:rsid w:val="003A52F9"/>
    <w:rsid w:val="003A677C"/>
    <w:rsid w:val="003A67A1"/>
    <w:rsid w:val="003A67FE"/>
    <w:rsid w:val="003A73B8"/>
    <w:rsid w:val="003A77D9"/>
    <w:rsid w:val="003A7AD1"/>
    <w:rsid w:val="003A7C4A"/>
    <w:rsid w:val="003A7F0B"/>
    <w:rsid w:val="003B1A11"/>
    <w:rsid w:val="003B1B56"/>
    <w:rsid w:val="003B26C6"/>
    <w:rsid w:val="003B3D68"/>
    <w:rsid w:val="003B3FBC"/>
    <w:rsid w:val="003B4339"/>
    <w:rsid w:val="003B4B74"/>
    <w:rsid w:val="003B522A"/>
    <w:rsid w:val="003B6727"/>
    <w:rsid w:val="003B6929"/>
    <w:rsid w:val="003B6FEE"/>
    <w:rsid w:val="003C0D13"/>
    <w:rsid w:val="003C0D2E"/>
    <w:rsid w:val="003C1286"/>
    <w:rsid w:val="003C1A26"/>
    <w:rsid w:val="003C228D"/>
    <w:rsid w:val="003C26FA"/>
    <w:rsid w:val="003C2E7E"/>
    <w:rsid w:val="003C32F2"/>
    <w:rsid w:val="003C3C94"/>
    <w:rsid w:val="003C3EA0"/>
    <w:rsid w:val="003C404E"/>
    <w:rsid w:val="003C44E6"/>
    <w:rsid w:val="003C4CB7"/>
    <w:rsid w:val="003C5031"/>
    <w:rsid w:val="003C643B"/>
    <w:rsid w:val="003C7470"/>
    <w:rsid w:val="003C797D"/>
    <w:rsid w:val="003D09C1"/>
    <w:rsid w:val="003D0A1B"/>
    <w:rsid w:val="003D0FB8"/>
    <w:rsid w:val="003D1A1A"/>
    <w:rsid w:val="003D1EFD"/>
    <w:rsid w:val="003D2331"/>
    <w:rsid w:val="003D2847"/>
    <w:rsid w:val="003D30F5"/>
    <w:rsid w:val="003D3446"/>
    <w:rsid w:val="003D4DB0"/>
    <w:rsid w:val="003D68C3"/>
    <w:rsid w:val="003D6BD2"/>
    <w:rsid w:val="003D77CF"/>
    <w:rsid w:val="003D7917"/>
    <w:rsid w:val="003D7AEB"/>
    <w:rsid w:val="003D7C91"/>
    <w:rsid w:val="003E03FA"/>
    <w:rsid w:val="003E0F3B"/>
    <w:rsid w:val="003E11E6"/>
    <w:rsid w:val="003E13D3"/>
    <w:rsid w:val="003E1D14"/>
    <w:rsid w:val="003E2E0F"/>
    <w:rsid w:val="003E366C"/>
    <w:rsid w:val="003E3A46"/>
    <w:rsid w:val="003E41E1"/>
    <w:rsid w:val="003E4DD3"/>
    <w:rsid w:val="003E4DE0"/>
    <w:rsid w:val="003E4F1A"/>
    <w:rsid w:val="003E56DA"/>
    <w:rsid w:val="003E5B78"/>
    <w:rsid w:val="003E668E"/>
    <w:rsid w:val="003E77BC"/>
    <w:rsid w:val="003F0959"/>
    <w:rsid w:val="003F15FB"/>
    <w:rsid w:val="003F1D0C"/>
    <w:rsid w:val="003F28BE"/>
    <w:rsid w:val="003F37B7"/>
    <w:rsid w:val="003F3A91"/>
    <w:rsid w:val="003F3BEE"/>
    <w:rsid w:val="003F4E5B"/>
    <w:rsid w:val="003F55F8"/>
    <w:rsid w:val="003F565B"/>
    <w:rsid w:val="003F56BC"/>
    <w:rsid w:val="003F62CA"/>
    <w:rsid w:val="003F664D"/>
    <w:rsid w:val="003F697E"/>
    <w:rsid w:val="003F7BE1"/>
    <w:rsid w:val="004000D8"/>
    <w:rsid w:val="00400C27"/>
    <w:rsid w:val="00401084"/>
    <w:rsid w:val="004014E3"/>
    <w:rsid w:val="00401E65"/>
    <w:rsid w:val="00401FD6"/>
    <w:rsid w:val="00403013"/>
    <w:rsid w:val="00403450"/>
    <w:rsid w:val="004040FE"/>
    <w:rsid w:val="00404646"/>
    <w:rsid w:val="004048CD"/>
    <w:rsid w:val="00404A88"/>
    <w:rsid w:val="00404C4F"/>
    <w:rsid w:val="00404EBF"/>
    <w:rsid w:val="00404F3C"/>
    <w:rsid w:val="0040619D"/>
    <w:rsid w:val="0040652D"/>
    <w:rsid w:val="00406B29"/>
    <w:rsid w:val="00407A12"/>
    <w:rsid w:val="00410072"/>
    <w:rsid w:val="00410A5F"/>
    <w:rsid w:val="00410D37"/>
    <w:rsid w:val="0041159F"/>
    <w:rsid w:val="00411F1A"/>
    <w:rsid w:val="004125AB"/>
    <w:rsid w:val="00412685"/>
    <w:rsid w:val="00412BED"/>
    <w:rsid w:val="004132FD"/>
    <w:rsid w:val="00413822"/>
    <w:rsid w:val="004144E5"/>
    <w:rsid w:val="00415706"/>
    <w:rsid w:val="004163A6"/>
    <w:rsid w:val="004163D4"/>
    <w:rsid w:val="00416D4E"/>
    <w:rsid w:val="0042091A"/>
    <w:rsid w:val="00420E8A"/>
    <w:rsid w:val="00420E92"/>
    <w:rsid w:val="004217EA"/>
    <w:rsid w:val="004220FE"/>
    <w:rsid w:val="00422E03"/>
    <w:rsid w:val="00423931"/>
    <w:rsid w:val="004241C8"/>
    <w:rsid w:val="00424798"/>
    <w:rsid w:val="00424DA5"/>
    <w:rsid w:val="004253B1"/>
    <w:rsid w:val="004255A1"/>
    <w:rsid w:val="0042577B"/>
    <w:rsid w:val="00425C02"/>
    <w:rsid w:val="0042687C"/>
    <w:rsid w:val="004300AF"/>
    <w:rsid w:val="004322EA"/>
    <w:rsid w:val="004325C9"/>
    <w:rsid w:val="004327CC"/>
    <w:rsid w:val="0043291C"/>
    <w:rsid w:val="00432B88"/>
    <w:rsid w:val="00432FAB"/>
    <w:rsid w:val="00433595"/>
    <w:rsid w:val="0043361D"/>
    <w:rsid w:val="00433DE5"/>
    <w:rsid w:val="004351C9"/>
    <w:rsid w:val="00435A2B"/>
    <w:rsid w:val="004360E1"/>
    <w:rsid w:val="00436683"/>
    <w:rsid w:val="00436DA9"/>
    <w:rsid w:val="004371A8"/>
    <w:rsid w:val="00437233"/>
    <w:rsid w:val="00437624"/>
    <w:rsid w:val="0043773C"/>
    <w:rsid w:val="00437BF9"/>
    <w:rsid w:val="0044018A"/>
    <w:rsid w:val="004402B6"/>
    <w:rsid w:val="00440720"/>
    <w:rsid w:val="00441EED"/>
    <w:rsid w:val="004421BC"/>
    <w:rsid w:val="00442E85"/>
    <w:rsid w:val="00443655"/>
    <w:rsid w:val="00444D0A"/>
    <w:rsid w:val="00445164"/>
    <w:rsid w:val="004454C6"/>
    <w:rsid w:val="00445B25"/>
    <w:rsid w:val="0044703A"/>
    <w:rsid w:val="0044761C"/>
    <w:rsid w:val="0044795A"/>
    <w:rsid w:val="00447E5D"/>
    <w:rsid w:val="00451A95"/>
    <w:rsid w:val="00451C10"/>
    <w:rsid w:val="00451EB2"/>
    <w:rsid w:val="00452037"/>
    <w:rsid w:val="004522BB"/>
    <w:rsid w:val="00452522"/>
    <w:rsid w:val="00452BD0"/>
    <w:rsid w:val="00452FEA"/>
    <w:rsid w:val="0045418B"/>
    <w:rsid w:val="004543C4"/>
    <w:rsid w:val="00454E33"/>
    <w:rsid w:val="0045513C"/>
    <w:rsid w:val="00455AD4"/>
    <w:rsid w:val="00455C9C"/>
    <w:rsid w:val="004564C6"/>
    <w:rsid w:val="0045694F"/>
    <w:rsid w:val="00456DA6"/>
    <w:rsid w:val="004574FC"/>
    <w:rsid w:val="004575CB"/>
    <w:rsid w:val="004601E4"/>
    <w:rsid w:val="0046041A"/>
    <w:rsid w:val="004605F2"/>
    <w:rsid w:val="004619EE"/>
    <w:rsid w:val="00463545"/>
    <w:rsid w:val="004639AF"/>
    <w:rsid w:val="00463BB6"/>
    <w:rsid w:val="004640F6"/>
    <w:rsid w:val="00464730"/>
    <w:rsid w:val="00465AA9"/>
    <w:rsid w:val="00465E8B"/>
    <w:rsid w:val="00465F59"/>
    <w:rsid w:val="0046685D"/>
    <w:rsid w:val="004669BB"/>
    <w:rsid w:val="0046749D"/>
    <w:rsid w:val="00467734"/>
    <w:rsid w:val="00467B50"/>
    <w:rsid w:val="0047155C"/>
    <w:rsid w:val="00472532"/>
    <w:rsid w:val="00472B2E"/>
    <w:rsid w:val="00472CED"/>
    <w:rsid w:val="0047303D"/>
    <w:rsid w:val="004733D4"/>
    <w:rsid w:val="00473770"/>
    <w:rsid w:val="00473A30"/>
    <w:rsid w:val="00473B4F"/>
    <w:rsid w:val="00474399"/>
    <w:rsid w:val="00474919"/>
    <w:rsid w:val="00474E68"/>
    <w:rsid w:val="004754D3"/>
    <w:rsid w:val="00475716"/>
    <w:rsid w:val="00476336"/>
    <w:rsid w:val="0047644E"/>
    <w:rsid w:val="00476564"/>
    <w:rsid w:val="00477370"/>
    <w:rsid w:val="0047771D"/>
    <w:rsid w:val="00477E43"/>
    <w:rsid w:val="004801A1"/>
    <w:rsid w:val="004803A6"/>
    <w:rsid w:val="00480C03"/>
    <w:rsid w:val="00481B8F"/>
    <w:rsid w:val="00481FA6"/>
    <w:rsid w:val="0048280F"/>
    <w:rsid w:val="004835D7"/>
    <w:rsid w:val="004836E7"/>
    <w:rsid w:val="00483799"/>
    <w:rsid w:val="00484376"/>
    <w:rsid w:val="00484584"/>
    <w:rsid w:val="0048475D"/>
    <w:rsid w:val="0048659D"/>
    <w:rsid w:val="00487089"/>
    <w:rsid w:val="004908AF"/>
    <w:rsid w:val="00490DF3"/>
    <w:rsid w:val="00491802"/>
    <w:rsid w:val="00491D5F"/>
    <w:rsid w:val="004920A7"/>
    <w:rsid w:val="00492D6E"/>
    <w:rsid w:val="004934D6"/>
    <w:rsid w:val="0049490D"/>
    <w:rsid w:val="00494D97"/>
    <w:rsid w:val="00495CB2"/>
    <w:rsid w:val="00495DFB"/>
    <w:rsid w:val="0049617F"/>
    <w:rsid w:val="004962BD"/>
    <w:rsid w:val="00496527"/>
    <w:rsid w:val="0049698E"/>
    <w:rsid w:val="0049756B"/>
    <w:rsid w:val="00497991"/>
    <w:rsid w:val="004A05B4"/>
    <w:rsid w:val="004A1C1A"/>
    <w:rsid w:val="004A3332"/>
    <w:rsid w:val="004A5235"/>
    <w:rsid w:val="004A6AFB"/>
    <w:rsid w:val="004A6DF9"/>
    <w:rsid w:val="004A7837"/>
    <w:rsid w:val="004A7A31"/>
    <w:rsid w:val="004B001A"/>
    <w:rsid w:val="004B05F8"/>
    <w:rsid w:val="004B16AD"/>
    <w:rsid w:val="004B1EA1"/>
    <w:rsid w:val="004B21CE"/>
    <w:rsid w:val="004B2C50"/>
    <w:rsid w:val="004B41DD"/>
    <w:rsid w:val="004B4CBB"/>
    <w:rsid w:val="004B4D16"/>
    <w:rsid w:val="004B505E"/>
    <w:rsid w:val="004B565D"/>
    <w:rsid w:val="004B5A6D"/>
    <w:rsid w:val="004B69AE"/>
    <w:rsid w:val="004B722D"/>
    <w:rsid w:val="004B72B5"/>
    <w:rsid w:val="004B73CF"/>
    <w:rsid w:val="004B7E3A"/>
    <w:rsid w:val="004C0A74"/>
    <w:rsid w:val="004C0E00"/>
    <w:rsid w:val="004C183F"/>
    <w:rsid w:val="004C1D6D"/>
    <w:rsid w:val="004C26A2"/>
    <w:rsid w:val="004C2E2B"/>
    <w:rsid w:val="004C3269"/>
    <w:rsid w:val="004C33DA"/>
    <w:rsid w:val="004C38D5"/>
    <w:rsid w:val="004C3B17"/>
    <w:rsid w:val="004C3E00"/>
    <w:rsid w:val="004C4456"/>
    <w:rsid w:val="004C4860"/>
    <w:rsid w:val="004C4D1D"/>
    <w:rsid w:val="004C4D9A"/>
    <w:rsid w:val="004C4E58"/>
    <w:rsid w:val="004C5461"/>
    <w:rsid w:val="004C6137"/>
    <w:rsid w:val="004C707F"/>
    <w:rsid w:val="004C71C9"/>
    <w:rsid w:val="004C78E8"/>
    <w:rsid w:val="004C7C91"/>
    <w:rsid w:val="004D04FA"/>
    <w:rsid w:val="004D07CA"/>
    <w:rsid w:val="004D1AB9"/>
    <w:rsid w:val="004D1BF1"/>
    <w:rsid w:val="004D1EB6"/>
    <w:rsid w:val="004D229D"/>
    <w:rsid w:val="004D2597"/>
    <w:rsid w:val="004D25FA"/>
    <w:rsid w:val="004D2625"/>
    <w:rsid w:val="004D2882"/>
    <w:rsid w:val="004D2A86"/>
    <w:rsid w:val="004D34D7"/>
    <w:rsid w:val="004D3CF2"/>
    <w:rsid w:val="004D418E"/>
    <w:rsid w:val="004D53F3"/>
    <w:rsid w:val="004D572A"/>
    <w:rsid w:val="004D68CE"/>
    <w:rsid w:val="004D6A8B"/>
    <w:rsid w:val="004D6B19"/>
    <w:rsid w:val="004D6F2D"/>
    <w:rsid w:val="004D7F29"/>
    <w:rsid w:val="004E0A57"/>
    <w:rsid w:val="004E1DEB"/>
    <w:rsid w:val="004E206C"/>
    <w:rsid w:val="004E21A9"/>
    <w:rsid w:val="004E22BB"/>
    <w:rsid w:val="004E2F22"/>
    <w:rsid w:val="004E312E"/>
    <w:rsid w:val="004E3D55"/>
    <w:rsid w:val="004E4CB6"/>
    <w:rsid w:val="004E54E3"/>
    <w:rsid w:val="004E56F0"/>
    <w:rsid w:val="004E6146"/>
    <w:rsid w:val="004E65FC"/>
    <w:rsid w:val="004E6967"/>
    <w:rsid w:val="004E6C00"/>
    <w:rsid w:val="004E6CA9"/>
    <w:rsid w:val="004E6F36"/>
    <w:rsid w:val="004F0898"/>
    <w:rsid w:val="004F0B83"/>
    <w:rsid w:val="004F11BF"/>
    <w:rsid w:val="004F2721"/>
    <w:rsid w:val="004F28D0"/>
    <w:rsid w:val="004F3A0D"/>
    <w:rsid w:val="004F429D"/>
    <w:rsid w:val="004F4B38"/>
    <w:rsid w:val="004F51F4"/>
    <w:rsid w:val="004F56A7"/>
    <w:rsid w:val="004F6199"/>
    <w:rsid w:val="004F7024"/>
    <w:rsid w:val="004F7413"/>
    <w:rsid w:val="005000DF"/>
    <w:rsid w:val="0050021F"/>
    <w:rsid w:val="005004DA"/>
    <w:rsid w:val="00501023"/>
    <w:rsid w:val="005010B0"/>
    <w:rsid w:val="005014EC"/>
    <w:rsid w:val="00501C43"/>
    <w:rsid w:val="005027A4"/>
    <w:rsid w:val="00502C7A"/>
    <w:rsid w:val="00503179"/>
    <w:rsid w:val="00503324"/>
    <w:rsid w:val="00503AEC"/>
    <w:rsid w:val="005044D4"/>
    <w:rsid w:val="00504DBB"/>
    <w:rsid w:val="00504ED0"/>
    <w:rsid w:val="00505176"/>
    <w:rsid w:val="005052EA"/>
    <w:rsid w:val="00505660"/>
    <w:rsid w:val="00505B9D"/>
    <w:rsid w:val="0050608A"/>
    <w:rsid w:val="0050608B"/>
    <w:rsid w:val="00506279"/>
    <w:rsid w:val="00506E73"/>
    <w:rsid w:val="005078D0"/>
    <w:rsid w:val="005100F0"/>
    <w:rsid w:val="00511277"/>
    <w:rsid w:val="00511342"/>
    <w:rsid w:val="005119B2"/>
    <w:rsid w:val="0051201D"/>
    <w:rsid w:val="00512107"/>
    <w:rsid w:val="00512405"/>
    <w:rsid w:val="005126B6"/>
    <w:rsid w:val="00513211"/>
    <w:rsid w:val="0051350F"/>
    <w:rsid w:val="00513AA5"/>
    <w:rsid w:val="0051409E"/>
    <w:rsid w:val="00514155"/>
    <w:rsid w:val="005148A1"/>
    <w:rsid w:val="005155A5"/>
    <w:rsid w:val="00515C61"/>
    <w:rsid w:val="005168ED"/>
    <w:rsid w:val="00516A60"/>
    <w:rsid w:val="005170C5"/>
    <w:rsid w:val="0051760E"/>
    <w:rsid w:val="00517937"/>
    <w:rsid w:val="00521AF3"/>
    <w:rsid w:val="00521B5D"/>
    <w:rsid w:val="00521CBC"/>
    <w:rsid w:val="00521DDF"/>
    <w:rsid w:val="00523A2C"/>
    <w:rsid w:val="00524035"/>
    <w:rsid w:val="00524B09"/>
    <w:rsid w:val="00524B4F"/>
    <w:rsid w:val="00524C80"/>
    <w:rsid w:val="00525689"/>
    <w:rsid w:val="00525F2D"/>
    <w:rsid w:val="005265DC"/>
    <w:rsid w:val="005272EE"/>
    <w:rsid w:val="00527331"/>
    <w:rsid w:val="00527D96"/>
    <w:rsid w:val="0053001B"/>
    <w:rsid w:val="0053059E"/>
    <w:rsid w:val="005308B8"/>
    <w:rsid w:val="005309DE"/>
    <w:rsid w:val="005313C7"/>
    <w:rsid w:val="00534013"/>
    <w:rsid w:val="005345C8"/>
    <w:rsid w:val="0053577F"/>
    <w:rsid w:val="00536178"/>
    <w:rsid w:val="0053654B"/>
    <w:rsid w:val="005366A7"/>
    <w:rsid w:val="00536859"/>
    <w:rsid w:val="005369DB"/>
    <w:rsid w:val="00537C5E"/>
    <w:rsid w:val="00537DB1"/>
    <w:rsid w:val="005409A4"/>
    <w:rsid w:val="0054142A"/>
    <w:rsid w:val="00541B42"/>
    <w:rsid w:val="00542CAD"/>
    <w:rsid w:val="00543757"/>
    <w:rsid w:val="005442CF"/>
    <w:rsid w:val="005450D9"/>
    <w:rsid w:val="00545FA7"/>
    <w:rsid w:val="005460DA"/>
    <w:rsid w:val="0054624F"/>
    <w:rsid w:val="005503A7"/>
    <w:rsid w:val="00550592"/>
    <w:rsid w:val="00550980"/>
    <w:rsid w:val="00550C92"/>
    <w:rsid w:val="005512F6"/>
    <w:rsid w:val="005517EC"/>
    <w:rsid w:val="005527F8"/>
    <w:rsid w:val="00552A0C"/>
    <w:rsid w:val="00554215"/>
    <w:rsid w:val="0055483B"/>
    <w:rsid w:val="00554A9A"/>
    <w:rsid w:val="0055505B"/>
    <w:rsid w:val="0055558B"/>
    <w:rsid w:val="0055571B"/>
    <w:rsid w:val="00555BB2"/>
    <w:rsid w:val="00555F49"/>
    <w:rsid w:val="00556164"/>
    <w:rsid w:val="00557192"/>
    <w:rsid w:val="00557364"/>
    <w:rsid w:val="00557621"/>
    <w:rsid w:val="00557A10"/>
    <w:rsid w:val="00557CCC"/>
    <w:rsid w:val="00560527"/>
    <w:rsid w:val="00561694"/>
    <w:rsid w:val="0056198F"/>
    <w:rsid w:val="00561AA0"/>
    <w:rsid w:val="0056231D"/>
    <w:rsid w:val="0056237B"/>
    <w:rsid w:val="00563144"/>
    <w:rsid w:val="00563907"/>
    <w:rsid w:val="00563997"/>
    <w:rsid w:val="0056408E"/>
    <w:rsid w:val="00564447"/>
    <w:rsid w:val="005647FC"/>
    <w:rsid w:val="00564941"/>
    <w:rsid w:val="00564A0B"/>
    <w:rsid w:val="00565818"/>
    <w:rsid w:val="00565DD7"/>
    <w:rsid w:val="00566361"/>
    <w:rsid w:val="00567333"/>
    <w:rsid w:val="0056752B"/>
    <w:rsid w:val="00570038"/>
    <w:rsid w:val="005700F9"/>
    <w:rsid w:val="00570B3C"/>
    <w:rsid w:val="00570D26"/>
    <w:rsid w:val="00572145"/>
    <w:rsid w:val="00572546"/>
    <w:rsid w:val="00572729"/>
    <w:rsid w:val="005727E7"/>
    <w:rsid w:val="00572AB8"/>
    <w:rsid w:val="00573259"/>
    <w:rsid w:val="005736F4"/>
    <w:rsid w:val="00573A73"/>
    <w:rsid w:val="00574600"/>
    <w:rsid w:val="005748EF"/>
    <w:rsid w:val="00575015"/>
    <w:rsid w:val="00575471"/>
    <w:rsid w:val="00575AFA"/>
    <w:rsid w:val="005760C1"/>
    <w:rsid w:val="00576EAA"/>
    <w:rsid w:val="0057702A"/>
    <w:rsid w:val="0057708B"/>
    <w:rsid w:val="00577EE8"/>
    <w:rsid w:val="00580C46"/>
    <w:rsid w:val="005830E9"/>
    <w:rsid w:val="005833CE"/>
    <w:rsid w:val="00583466"/>
    <w:rsid w:val="00583811"/>
    <w:rsid w:val="00584224"/>
    <w:rsid w:val="005846CD"/>
    <w:rsid w:val="00585664"/>
    <w:rsid w:val="00585A69"/>
    <w:rsid w:val="005865EF"/>
    <w:rsid w:val="00587593"/>
    <w:rsid w:val="005877AC"/>
    <w:rsid w:val="00587B11"/>
    <w:rsid w:val="00587B9F"/>
    <w:rsid w:val="00592246"/>
    <w:rsid w:val="00592418"/>
    <w:rsid w:val="00592E77"/>
    <w:rsid w:val="0059431D"/>
    <w:rsid w:val="00594678"/>
    <w:rsid w:val="005949F2"/>
    <w:rsid w:val="00595111"/>
    <w:rsid w:val="0059512E"/>
    <w:rsid w:val="0059520E"/>
    <w:rsid w:val="00595F27"/>
    <w:rsid w:val="00597762"/>
    <w:rsid w:val="005978B6"/>
    <w:rsid w:val="005A01EF"/>
    <w:rsid w:val="005A06A6"/>
    <w:rsid w:val="005A0F10"/>
    <w:rsid w:val="005A1028"/>
    <w:rsid w:val="005A13C0"/>
    <w:rsid w:val="005A15A5"/>
    <w:rsid w:val="005A32E5"/>
    <w:rsid w:val="005A36D3"/>
    <w:rsid w:val="005A4395"/>
    <w:rsid w:val="005A4497"/>
    <w:rsid w:val="005A4D99"/>
    <w:rsid w:val="005A5151"/>
    <w:rsid w:val="005A53B8"/>
    <w:rsid w:val="005A548A"/>
    <w:rsid w:val="005A5543"/>
    <w:rsid w:val="005A55BD"/>
    <w:rsid w:val="005A5C5B"/>
    <w:rsid w:val="005A5D5E"/>
    <w:rsid w:val="005A6791"/>
    <w:rsid w:val="005A6C9B"/>
    <w:rsid w:val="005A74D4"/>
    <w:rsid w:val="005A76C0"/>
    <w:rsid w:val="005A7751"/>
    <w:rsid w:val="005A7DB4"/>
    <w:rsid w:val="005B055B"/>
    <w:rsid w:val="005B083B"/>
    <w:rsid w:val="005B1EC8"/>
    <w:rsid w:val="005B2115"/>
    <w:rsid w:val="005B2456"/>
    <w:rsid w:val="005B3141"/>
    <w:rsid w:val="005B41B6"/>
    <w:rsid w:val="005B4592"/>
    <w:rsid w:val="005B5E66"/>
    <w:rsid w:val="005B65C2"/>
    <w:rsid w:val="005B7643"/>
    <w:rsid w:val="005B7D1C"/>
    <w:rsid w:val="005C0034"/>
    <w:rsid w:val="005C0432"/>
    <w:rsid w:val="005C1646"/>
    <w:rsid w:val="005C2730"/>
    <w:rsid w:val="005C3E4B"/>
    <w:rsid w:val="005C4028"/>
    <w:rsid w:val="005C4850"/>
    <w:rsid w:val="005C4E9C"/>
    <w:rsid w:val="005C612C"/>
    <w:rsid w:val="005C67E4"/>
    <w:rsid w:val="005C686B"/>
    <w:rsid w:val="005C7AFE"/>
    <w:rsid w:val="005C7D98"/>
    <w:rsid w:val="005D0187"/>
    <w:rsid w:val="005D0198"/>
    <w:rsid w:val="005D0BA0"/>
    <w:rsid w:val="005D0E07"/>
    <w:rsid w:val="005D0E5D"/>
    <w:rsid w:val="005D0FB1"/>
    <w:rsid w:val="005D124D"/>
    <w:rsid w:val="005D15A9"/>
    <w:rsid w:val="005D1EE7"/>
    <w:rsid w:val="005D306B"/>
    <w:rsid w:val="005D4023"/>
    <w:rsid w:val="005D4E96"/>
    <w:rsid w:val="005D575F"/>
    <w:rsid w:val="005D5888"/>
    <w:rsid w:val="005D5ABC"/>
    <w:rsid w:val="005D7051"/>
    <w:rsid w:val="005D70E0"/>
    <w:rsid w:val="005E02CA"/>
    <w:rsid w:val="005E0D44"/>
    <w:rsid w:val="005E10F2"/>
    <w:rsid w:val="005E1148"/>
    <w:rsid w:val="005E14BC"/>
    <w:rsid w:val="005E1649"/>
    <w:rsid w:val="005E1756"/>
    <w:rsid w:val="005E258B"/>
    <w:rsid w:val="005E3318"/>
    <w:rsid w:val="005E3564"/>
    <w:rsid w:val="005E3954"/>
    <w:rsid w:val="005E4029"/>
    <w:rsid w:val="005E4CD0"/>
    <w:rsid w:val="005E4F73"/>
    <w:rsid w:val="005E55B6"/>
    <w:rsid w:val="005E5986"/>
    <w:rsid w:val="005E7AF2"/>
    <w:rsid w:val="005F0DBA"/>
    <w:rsid w:val="005F1214"/>
    <w:rsid w:val="005F2905"/>
    <w:rsid w:val="005F3374"/>
    <w:rsid w:val="005F3554"/>
    <w:rsid w:val="005F364C"/>
    <w:rsid w:val="005F37B0"/>
    <w:rsid w:val="005F409A"/>
    <w:rsid w:val="005F4103"/>
    <w:rsid w:val="005F4151"/>
    <w:rsid w:val="005F4285"/>
    <w:rsid w:val="005F45E1"/>
    <w:rsid w:val="005F608D"/>
    <w:rsid w:val="006000AA"/>
    <w:rsid w:val="0060194A"/>
    <w:rsid w:val="00601B68"/>
    <w:rsid w:val="0060242C"/>
    <w:rsid w:val="00603000"/>
    <w:rsid w:val="00603617"/>
    <w:rsid w:val="00603AFA"/>
    <w:rsid w:val="00603B20"/>
    <w:rsid w:val="00604086"/>
    <w:rsid w:val="00604BB0"/>
    <w:rsid w:val="00604CCD"/>
    <w:rsid w:val="00605241"/>
    <w:rsid w:val="00605676"/>
    <w:rsid w:val="006060F2"/>
    <w:rsid w:val="006066AC"/>
    <w:rsid w:val="00606C6B"/>
    <w:rsid w:val="00607CEC"/>
    <w:rsid w:val="00607D9E"/>
    <w:rsid w:val="00610285"/>
    <w:rsid w:val="00610644"/>
    <w:rsid w:val="00611165"/>
    <w:rsid w:val="006117EC"/>
    <w:rsid w:val="00612420"/>
    <w:rsid w:val="006127C8"/>
    <w:rsid w:val="0061281A"/>
    <w:rsid w:val="00612885"/>
    <w:rsid w:val="00612DCA"/>
    <w:rsid w:val="0061347D"/>
    <w:rsid w:val="00613955"/>
    <w:rsid w:val="006145F8"/>
    <w:rsid w:val="0061471B"/>
    <w:rsid w:val="0061525F"/>
    <w:rsid w:val="006161B7"/>
    <w:rsid w:val="00616214"/>
    <w:rsid w:val="00616EC1"/>
    <w:rsid w:val="006174FB"/>
    <w:rsid w:val="00620387"/>
    <w:rsid w:val="0062098F"/>
    <w:rsid w:val="006209CA"/>
    <w:rsid w:val="0062173B"/>
    <w:rsid w:val="00622128"/>
    <w:rsid w:val="00622539"/>
    <w:rsid w:val="006225B1"/>
    <w:rsid w:val="00622E99"/>
    <w:rsid w:val="00622F69"/>
    <w:rsid w:val="00623165"/>
    <w:rsid w:val="0062347E"/>
    <w:rsid w:val="00623B2A"/>
    <w:rsid w:val="006242BC"/>
    <w:rsid w:val="00624A81"/>
    <w:rsid w:val="006250B0"/>
    <w:rsid w:val="006255F9"/>
    <w:rsid w:val="006260D7"/>
    <w:rsid w:val="006270FD"/>
    <w:rsid w:val="006279D0"/>
    <w:rsid w:val="00627AA6"/>
    <w:rsid w:val="006304D4"/>
    <w:rsid w:val="0063107E"/>
    <w:rsid w:val="00631603"/>
    <w:rsid w:val="006316C4"/>
    <w:rsid w:val="006321DF"/>
    <w:rsid w:val="006325BE"/>
    <w:rsid w:val="0063307A"/>
    <w:rsid w:val="00634AFD"/>
    <w:rsid w:val="0063573D"/>
    <w:rsid w:val="006360E3"/>
    <w:rsid w:val="00636F6F"/>
    <w:rsid w:val="0063742B"/>
    <w:rsid w:val="00637C53"/>
    <w:rsid w:val="00637CE2"/>
    <w:rsid w:val="00637E28"/>
    <w:rsid w:val="00640325"/>
    <w:rsid w:val="006403A7"/>
    <w:rsid w:val="00640E58"/>
    <w:rsid w:val="00641BB1"/>
    <w:rsid w:val="00642BAB"/>
    <w:rsid w:val="00642E60"/>
    <w:rsid w:val="006432D1"/>
    <w:rsid w:val="00643755"/>
    <w:rsid w:val="00643832"/>
    <w:rsid w:val="0064397D"/>
    <w:rsid w:val="0064511F"/>
    <w:rsid w:val="006452D8"/>
    <w:rsid w:val="0064557C"/>
    <w:rsid w:val="00645E1C"/>
    <w:rsid w:val="0064674D"/>
    <w:rsid w:val="006512EB"/>
    <w:rsid w:val="006512F4"/>
    <w:rsid w:val="0065165F"/>
    <w:rsid w:val="00651899"/>
    <w:rsid w:val="0065197D"/>
    <w:rsid w:val="00651F3D"/>
    <w:rsid w:val="0065234A"/>
    <w:rsid w:val="00652DA8"/>
    <w:rsid w:val="0065331A"/>
    <w:rsid w:val="0065435F"/>
    <w:rsid w:val="006549B4"/>
    <w:rsid w:val="00654F28"/>
    <w:rsid w:val="00656609"/>
    <w:rsid w:val="006566C2"/>
    <w:rsid w:val="00656E2C"/>
    <w:rsid w:val="00657A0B"/>
    <w:rsid w:val="0066037E"/>
    <w:rsid w:val="00660401"/>
    <w:rsid w:val="00660567"/>
    <w:rsid w:val="00660D05"/>
    <w:rsid w:val="0066174C"/>
    <w:rsid w:val="00661DBF"/>
    <w:rsid w:val="00661EDB"/>
    <w:rsid w:val="006628EC"/>
    <w:rsid w:val="00662904"/>
    <w:rsid w:val="00662C88"/>
    <w:rsid w:val="006631B0"/>
    <w:rsid w:val="00663250"/>
    <w:rsid w:val="006635B3"/>
    <w:rsid w:val="006636B1"/>
    <w:rsid w:val="006637DC"/>
    <w:rsid w:val="00663AB5"/>
    <w:rsid w:val="006646CC"/>
    <w:rsid w:val="0066517C"/>
    <w:rsid w:val="006651CE"/>
    <w:rsid w:val="006659F8"/>
    <w:rsid w:val="00665DAA"/>
    <w:rsid w:val="00665DFB"/>
    <w:rsid w:val="006662F7"/>
    <w:rsid w:val="00667B71"/>
    <w:rsid w:val="006707B0"/>
    <w:rsid w:val="006708E8"/>
    <w:rsid w:val="00671531"/>
    <w:rsid w:val="00673BDF"/>
    <w:rsid w:val="00673F5D"/>
    <w:rsid w:val="00674225"/>
    <w:rsid w:val="00674FEF"/>
    <w:rsid w:val="00675381"/>
    <w:rsid w:val="00675FDC"/>
    <w:rsid w:val="00676030"/>
    <w:rsid w:val="006760DB"/>
    <w:rsid w:val="00680417"/>
    <w:rsid w:val="00680676"/>
    <w:rsid w:val="00680ACD"/>
    <w:rsid w:val="00680B86"/>
    <w:rsid w:val="00682245"/>
    <w:rsid w:val="0068260B"/>
    <w:rsid w:val="0068269D"/>
    <w:rsid w:val="00684858"/>
    <w:rsid w:val="00684860"/>
    <w:rsid w:val="00684CF5"/>
    <w:rsid w:val="006860D2"/>
    <w:rsid w:val="00687412"/>
    <w:rsid w:val="00687DBA"/>
    <w:rsid w:val="00687EB4"/>
    <w:rsid w:val="00687FE8"/>
    <w:rsid w:val="006907C8"/>
    <w:rsid w:val="00690C86"/>
    <w:rsid w:val="00690E4F"/>
    <w:rsid w:val="00692ECE"/>
    <w:rsid w:val="006930C3"/>
    <w:rsid w:val="0069414B"/>
    <w:rsid w:val="00694159"/>
    <w:rsid w:val="00694469"/>
    <w:rsid w:val="00694EB7"/>
    <w:rsid w:val="00695C4E"/>
    <w:rsid w:val="00695D01"/>
    <w:rsid w:val="00695F2B"/>
    <w:rsid w:val="006967FF"/>
    <w:rsid w:val="00696C41"/>
    <w:rsid w:val="00696D37"/>
    <w:rsid w:val="006978A6"/>
    <w:rsid w:val="006A06F8"/>
    <w:rsid w:val="006A0CE6"/>
    <w:rsid w:val="006A134D"/>
    <w:rsid w:val="006A1714"/>
    <w:rsid w:val="006A1831"/>
    <w:rsid w:val="006A18F5"/>
    <w:rsid w:val="006A1D36"/>
    <w:rsid w:val="006A2D11"/>
    <w:rsid w:val="006A2E01"/>
    <w:rsid w:val="006A3530"/>
    <w:rsid w:val="006A35C2"/>
    <w:rsid w:val="006A37A4"/>
    <w:rsid w:val="006A4E15"/>
    <w:rsid w:val="006A5379"/>
    <w:rsid w:val="006A5FC4"/>
    <w:rsid w:val="006A65CF"/>
    <w:rsid w:val="006A6D64"/>
    <w:rsid w:val="006A74E5"/>
    <w:rsid w:val="006B17D6"/>
    <w:rsid w:val="006B18A8"/>
    <w:rsid w:val="006B31A8"/>
    <w:rsid w:val="006B482D"/>
    <w:rsid w:val="006B4CF6"/>
    <w:rsid w:val="006B513B"/>
    <w:rsid w:val="006B54BC"/>
    <w:rsid w:val="006B5A77"/>
    <w:rsid w:val="006B61B1"/>
    <w:rsid w:val="006B7B1B"/>
    <w:rsid w:val="006C019C"/>
    <w:rsid w:val="006C1213"/>
    <w:rsid w:val="006C16F5"/>
    <w:rsid w:val="006C1BE8"/>
    <w:rsid w:val="006C1E9C"/>
    <w:rsid w:val="006C2041"/>
    <w:rsid w:val="006C2159"/>
    <w:rsid w:val="006C27E7"/>
    <w:rsid w:val="006C3612"/>
    <w:rsid w:val="006C3B0B"/>
    <w:rsid w:val="006C4315"/>
    <w:rsid w:val="006C464B"/>
    <w:rsid w:val="006C471C"/>
    <w:rsid w:val="006C49FD"/>
    <w:rsid w:val="006C4AEC"/>
    <w:rsid w:val="006C5259"/>
    <w:rsid w:val="006C5747"/>
    <w:rsid w:val="006C5EAF"/>
    <w:rsid w:val="006C5F36"/>
    <w:rsid w:val="006C678F"/>
    <w:rsid w:val="006C6930"/>
    <w:rsid w:val="006D03D3"/>
    <w:rsid w:val="006D0903"/>
    <w:rsid w:val="006D09D9"/>
    <w:rsid w:val="006D150E"/>
    <w:rsid w:val="006D1643"/>
    <w:rsid w:val="006D2425"/>
    <w:rsid w:val="006D2465"/>
    <w:rsid w:val="006D2EC3"/>
    <w:rsid w:val="006D3CE5"/>
    <w:rsid w:val="006D3E26"/>
    <w:rsid w:val="006D47A6"/>
    <w:rsid w:val="006D5211"/>
    <w:rsid w:val="006D5F2C"/>
    <w:rsid w:val="006D6326"/>
    <w:rsid w:val="006D6341"/>
    <w:rsid w:val="006D63CC"/>
    <w:rsid w:val="006D6CB4"/>
    <w:rsid w:val="006D75E0"/>
    <w:rsid w:val="006E03E1"/>
    <w:rsid w:val="006E11CE"/>
    <w:rsid w:val="006E326A"/>
    <w:rsid w:val="006E3B90"/>
    <w:rsid w:val="006E561F"/>
    <w:rsid w:val="006E65DA"/>
    <w:rsid w:val="006E70B7"/>
    <w:rsid w:val="006E7D56"/>
    <w:rsid w:val="006F0A2D"/>
    <w:rsid w:val="006F1106"/>
    <w:rsid w:val="006F1665"/>
    <w:rsid w:val="006F1B50"/>
    <w:rsid w:val="006F2246"/>
    <w:rsid w:val="006F3584"/>
    <w:rsid w:val="006F4016"/>
    <w:rsid w:val="006F4311"/>
    <w:rsid w:val="006F4414"/>
    <w:rsid w:val="006F51CB"/>
    <w:rsid w:val="006F6CB1"/>
    <w:rsid w:val="006F6CC0"/>
    <w:rsid w:val="006F710D"/>
    <w:rsid w:val="006F7467"/>
    <w:rsid w:val="00700DD7"/>
    <w:rsid w:val="00701925"/>
    <w:rsid w:val="00701D68"/>
    <w:rsid w:val="00701F54"/>
    <w:rsid w:val="007022D8"/>
    <w:rsid w:val="00702E1D"/>
    <w:rsid w:val="0070307F"/>
    <w:rsid w:val="0070521E"/>
    <w:rsid w:val="0070551B"/>
    <w:rsid w:val="0070607F"/>
    <w:rsid w:val="00706278"/>
    <w:rsid w:val="007079D5"/>
    <w:rsid w:val="00707C82"/>
    <w:rsid w:val="00710B15"/>
    <w:rsid w:val="00710D37"/>
    <w:rsid w:val="00710EC0"/>
    <w:rsid w:val="007111B8"/>
    <w:rsid w:val="007125E5"/>
    <w:rsid w:val="00712E29"/>
    <w:rsid w:val="00712E5C"/>
    <w:rsid w:val="0071338B"/>
    <w:rsid w:val="0071384D"/>
    <w:rsid w:val="00714397"/>
    <w:rsid w:val="00714726"/>
    <w:rsid w:val="00715064"/>
    <w:rsid w:val="00715562"/>
    <w:rsid w:val="00715729"/>
    <w:rsid w:val="00715BA9"/>
    <w:rsid w:val="00716705"/>
    <w:rsid w:val="00716834"/>
    <w:rsid w:val="00716EDA"/>
    <w:rsid w:val="007171B2"/>
    <w:rsid w:val="00717AB6"/>
    <w:rsid w:val="00717B34"/>
    <w:rsid w:val="007214C0"/>
    <w:rsid w:val="00721F19"/>
    <w:rsid w:val="007221E6"/>
    <w:rsid w:val="00724470"/>
    <w:rsid w:val="00724692"/>
    <w:rsid w:val="007250FA"/>
    <w:rsid w:val="00725BE8"/>
    <w:rsid w:val="00726780"/>
    <w:rsid w:val="00726934"/>
    <w:rsid w:val="00727ADE"/>
    <w:rsid w:val="007305EF"/>
    <w:rsid w:val="00730F7E"/>
    <w:rsid w:val="0073160F"/>
    <w:rsid w:val="00731BFB"/>
    <w:rsid w:val="0073238B"/>
    <w:rsid w:val="00732391"/>
    <w:rsid w:val="00732461"/>
    <w:rsid w:val="00732DF7"/>
    <w:rsid w:val="00732DFD"/>
    <w:rsid w:val="0073346A"/>
    <w:rsid w:val="00733970"/>
    <w:rsid w:val="00733D92"/>
    <w:rsid w:val="007340B7"/>
    <w:rsid w:val="00734AF4"/>
    <w:rsid w:val="00734B3B"/>
    <w:rsid w:val="00735479"/>
    <w:rsid w:val="00735EF1"/>
    <w:rsid w:val="007362FA"/>
    <w:rsid w:val="007374C7"/>
    <w:rsid w:val="00737703"/>
    <w:rsid w:val="00740426"/>
    <w:rsid w:val="007406BB"/>
    <w:rsid w:val="00740A66"/>
    <w:rsid w:val="00740BBE"/>
    <w:rsid w:val="00740D20"/>
    <w:rsid w:val="00742DBB"/>
    <w:rsid w:val="00743023"/>
    <w:rsid w:val="00743486"/>
    <w:rsid w:val="00743517"/>
    <w:rsid w:val="007453EB"/>
    <w:rsid w:val="007479B1"/>
    <w:rsid w:val="0075048F"/>
    <w:rsid w:val="00751573"/>
    <w:rsid w:val="0075292F"/>
    <w:rsid w:val="0075298A"/>
    <w:rsid w:val="00752D2F"/>
    <w:rsid w:val="00753155"/>
    <w:rsid w:val="00753FF2"/>
    <w:rsid w:val="00754007"/>
    <w:rsid w:val="007547AC"/>
    <w:rsid w:val="00754F4F"/>
    <w:rsid w:val="00755070"/>
    <w:rsid w:val="0075584F"/>
    <w:rsid w:val="00756FA2"/>
    <w:rsid w:val="00757369"/>
    <w:rsid w:val="00757AD6"/>
    <w:rsid w:val="007601FB"/>
    <w:rsid w:val="00760D49"/>
    <w:rsid w:val="00761617"/>
    <w:rsid w:val="00761F65"/>
    <w:rsid w:val="007621FE"/>
    <w:rsid w:val="0076268A"/>
    <w:rsid w:val="0076403C"/>
    <w:rsid w:val="00764464"/>
    <w:rsid w:val="00764B85"/>
    <w:rsid w:val="00764FB3"/>
    <w:rsid w:val="0076511E"/>
    <w:rsid w:val="00765A55"/>
    <w:rsid w:val="00766137"/>
    <w:rsid w:val="007670BF"/>
    <w:rsid w:val="00767BFB"/>
    <w:rsid w:val="00767EE5"/>
    <w:rsid w:val="00770AA6"/>
    <w:rsid w:val="00771576"/>
    <w:rsid w:val="00771D13"/>
    <w:rsid w:val="007724B8"/>
    <w:rsid w:val="00772B60"/>
    <w:rsid w:val="00773209"/>
    <w:rsid w:val="007735C1"/>
    <w:rsid w:val="00774498"/>
    <w:rsid w:val="00775D66"/>
    <w:rsid w:val="00775F53"/>
    <w:rsid w:val="007764B9"/>
    <w:rsid w:val="007767DD"/>
    <w:rsid w:val="00776A0E"/>
    <w:rsid w:val="00776B52"/>
    <w:rsid w:val="007773C4"/>
    <w:rsid w:val="00777BD1"/>
    <w:rsid w:val="00777FA7"/>
    <w:rsid w:val="007805A7"/>
    <w:rsid w:val="00780BDB"/>
    <w:rsid w:val="00780CBB"/>
    <w:rsid w:val="00780F1E"/>
    <w:rsid w:val="00781371"/>
    <w:rsid w:val="00782CC9"/>
    <w:rsid w:val="00783635"/>
    <w:rsid w:val="00784C1C"/>
    <w:rsid w:val="00784E04"/>
    <w:rsid w:val="007853DB"/>
    <w:rsid w:val="007855DE"/>
    <w:rsid w:val="007859C9"/>
    <w:rsid w:val="00785F06"/>
    <w:rsid w:val="00786285"/>
    <w:rsid w:val="007863EB"/>
    <w:rsid w:val="00786E5E"/>
    <w:rsid w:val="00790092"/>
    <w:rsid w:val="0079019C"/>
    <w:rsid w:val="00790250"/>
    <w:rsid w:val="007909A7"/>
    <w:rsid w:val="007909A8"/>
    <w:rsid w:val="007918F5"/>
    <w:rsid w:val="00791DDC"/>
    <w:rsid w:val="00791DF6"/>
    <w:rsid w:val="0079201C"/>
    <w:rsid w:val="00792582"/>
    <w:rsid w:val="00792DBF"/>
    <w:rsid w:val="00792DCE"/>
    <w:rsid w:val="0079360E"/>
    <w:rsid w:val="0079389F"/>
    <w:rsid w:val="00793F0D"/>
    <w:rsid w:val="00795485"/>
    <w:rsid w:val="007958CA"/>
    <w:rsid w:val="00795B19"/>
    <w:rsid w:val="00795FA9"/>
    <w:rsid w:val="007961E7"/>
    <w:rsid w:val="007968C2"/>
    <w:rsid w:val="0079714B"/>
    <w:rsid w:val="0079794E"/>
    <w:rsid w:val="00797BCE"/>
    <w:rsid w:val="007A0576"/>
    <w:rsid w:val="007A0979"/>
    <w:rsid w:val="007A0D13"/>
    <w:rsid w:val="007A111A"/>
    <w:rsid w:val="007A1949"/>
    <w:rsid w:val="007A19D3"/>
    <w:rsid w:val="007A2D83"/>
    <w:rsid w:val="007A3075"/>
    <w:rsid w:val="007A35D2"/>
    <w:rsid w:val="007A36C6"/>
    <w:rsid w:val="007A4D79"/>
    <w:rsid w:val="007A535C"/>
    <w:rsid w:val="007A5BD2"/>
    <w:rsid w:val="007A5E3D"/>
    <w:rsid w:val="007A62E0"/>
    <w:rsid w:val="007A6854"/>
    <w:rsid w:val="007A6B89"/>
    <w:rsid w:val="007A76ED"/>
    <w:rsid w:val="007B004E"/>
    <w:rsid w:val="007B1235"/>
    <w:rsid w:val="007B1469"/>
    <w:rsid w:val="007B1B16"/>
    <w:rsid w:val="007B1B1A"/>
    <w:rsid w:val="007B20D9"/>
    <w:rsid w:val="007B282C"/>
    <w:rsid w:val="007B3247"/>
    <w:rsid w:val="007B3632"/>
    <w:rsid w:val="007B36A1"/>
    <w:rsid w:val="007B453F"/>
    <w:rsid w:val="007B53EC"/>
    <w:rsid w:val="007B543C"/>
    <w:rsid w:val="007B57FC"/>
    <w:rsid w:val="007B5B04"/>
    <w:rsid w:val="007B5CC5"/>
    <w:rsid w:val="007B61C7"/>
    <w:rsid w:val="007B6439"/>
    <w:rsid w:val="007B65D3"/>
    <w:rsid w:val="007B68E1"/>
    <w:rsid w:val="007B6BBD"/>
    <w:rsid w:val="007B7102"/>
    <w:rsid w:val="007B7C55"/>
    <w:rsid w:val="007C02FC"/>
    <w:rsid w:val="007C0A64"/>
    <w:rsid w:val="007C11F3"/>
    <w:rsid w:val="007C1780"/>
    <w:rsid w:val="007C1991"/>
    <w:rsid w:val="007C1AF6"/>
    <w:rsid w:val="007C1F14"/>
    <w:rsid w:val="007C3C4F"/>
    <w:rsid w:val="007C46F2"/>
    <w:rsid w:val="007C575C"/>
    <w:rsid w:val="007C5CEA"/>
    <w:rsid w:val="007C5DFB"/>
    <w:rsid w:val="007C666F"/>
    <w:rsid w:val="007C76D5"/>
    <w:rsid w:val="007C7904"/>
    <w:rsid w:val="007C7C6A"/>
    <w:rsid w:val="007C7F84"/>
    <w:rsid w:val="007D0705"/>
    <w:rsid w:val="007D2353"/>
    <w:rsid w:val="007D4E28"/>
    <w:rsid w:val="007D50E2"/>
    <w:rsid w:val="007D51AF"/>
    <w:rsid w:val="007D5CCA"/>
    <w:rsid w:val="007D72E0"/>
    <w:rsid w:val="007D7F1F"/>
    <w:rsid w:val="007D7FDF"/>
    <w:rsid w:val="007E03B9"/>
    <w:rsid w:val="007E050F"/>
    <w:rsid w:val="007E0A1B"/>
    <w:rsid w:val="007E17DD"/>
    <w:rsid w:val="007E1F09"/>
    <w:rsid w:val="007E26A4"/>
    <w:rsid w:val="007E2DCC"/>
    <w:rsid w:val="007E2FE9"/>
    <w:rsid w:val="007E3577"/>
    <w:rsid w:val="007E3B57"/>
    <w:rsid w:val="007E46AE"/>
    <w:rsid w:val="007E46FF"/>
    <w:rsid w:val="007E4917"/>
    <w:rsid w:val="007E4DD4"/>
    <w:rsid w:val="007E5274"/>
    <w:rsid w:val="007E5E62"/>
    <w:rsid w:val="007E62EC"/>
    <w:rsid w:val="007E6738"/>
    <w:rsid w:val="007E71F1"/>
    <w:rsid w:val="007E7906"/>
    <w:rsid w:val="007F02F0"/>
    <w:rsid w:val="007F0E29"/>
    <w:rsid w:val="007F1EF6"/>
    <w:rsid w:val="007F2186"/>
    <w:rsid w:val="007F2602"/>
    <w:rsid w:val="007F4291"/>
    <w:rsid w:val="007F42D0"/>
    <w:rsid w:val="007F47D5"/>
    <w:rsid w:val="007F52CB"/>
    <w:rsid w:val="007F6B2E"/>
    <w:rsid w:val="007F70F9"/>
    <w:rsid w:val="007F7280"/>
    <w:rsid w:val="007F759D"/>
    <w:rsid w:val="00800177"/>
    <w:rsid w:val="00800A68"/>
    <w:rsid w:val="00800AF3"/>
    <w:rsid w:val="00800BF6"/>
    <w:rsid w:val="00801281"/>
    <w:rsid w:val="00801788"/>
    <w:rsid w:val="0080282A"/>
    <w:rsid w:val="00803934"/>
    <w:rsid w:val="00804891"/>
    <w:rsid w:val="00804C9D"/>
    <w:rsid w:val="0081042A"/>
    <w:rsid w:val="00810D12"/>
    <w:rsid w:val="00811054"/>
    <w:rsid w:val="0081164F"/>
    <w:rsid w:val="00811942"/>
    <w:rsid w:val="00812A73"/>
    <w:rsid w:val="008130E6"/>
    <w:rsid w:val="0081357E"/>
    <w:rsid w:val="00814F74"/>
    <w:rsid w:val="00814FC5"/>
    <w:rsid w:val="00814FE7"/>
    <w:rsid w:val="00815D35"/>
    <w:rsid w:val="00815E6F"/>
    <w:rsid w:val="00815FBE"/>
    <w:rsid w:val="00816CA0"/>
    <w:rsid w:val="00817091"/>
    <w:rsid w:val="00817125"/>
    <w:rsid w:val="00817A30"/>
    <w:rsid w:val="00817C87"/>
    <w:rsid w:val="008203F8"/>
    <w:rsid w:val="00820973"/>
    <w:rsid w:val="00820E0A"/>
    <w:rsid w:val="00820E30"/>
    <w:rsid w:val="00821420"/>
    <w:rsid w:val="00821829"/>
    <w:rsid w:val="00821974"/>
    <w:rsid w:val="00822D9A"/>
    <w:rsid w:val="00822F70"/>
    <w:rsid w:val="008236CB"/>
    <w:rsid w:val="00824913"/>
    <w:rsid w:val="00824CD0"/>
    <w:rsid w:val="008257C7"/>
    <w:rsid w:val="00825B7C"/>
    <w:rsid w:val="008260F5"/>
    <w:rsid w:val="00826385"/>
    <w:rsid w:val="008266FA"/>
    <w:rsid w:val="00827B44"/>
    <w:rsid w:val="00830863"/>
    <w:rsid w:val="008312D1"/>
    <w:rsid w:val="00832A09"/>
    <w:rsid w:val="00833378"/>
    <w:rsid w:val="00833DB4"/>
    <w:rsid w:val="00834192"/>
    <w:rsid w:val="00836611"/>
    <w:rsid w:val="00836ABF"/>
    <w:rsid w:val="00836DAF"/>
    <w:rsid w:val="00837BF6"/>
    <w:rsid w:val="00837FCA"/>
    <w:rsid w:val="0084029E"/>
    <w:rsid w:val="0084080F"/>
    <w:rsid w:val="00840DC1"/>
    <w:rsid w:val="00840EC2"/>
    <w:rsid w:val="008418DB"/>
    <w:rsid w:val="008419B9"/>
    <w:rsid w:val="00841C19"/>
    <w:rsid w:val="00841CB3"/>
    <w:rsid w:val="00841D87"/>
    <w:rsid w:val="00841F06"/>
    <w:rsid w:val="00841F0C"/>
    <w:rsid w:val="00843506"/>
    <w:rsid w:val="00844325"/>
    <w:rsid w:val="00845253"/>
    <w:rsid w:val="00845299"/>
    <w:rsid w:val="00845504"/>
    <w:rsid w:val="008455B6"/>
    <w:rsid w:val="00845624"/>
    <w:rsid w:val="00845C4E"/>
    <w:rsid w:val="00846A0F"/>
    <w:rsid w:val="00847069"/>
    <w:rsid w:val="0084737D"/>
    <w:rsid w:val="00847437"/>
    <w:rsid w:val="0084766B"/>
    <w:rsid w:val="00847DF7"/>
    <w:rsid w:val="00850320"/>
    <w:rsid w:val="008509DD"/>
    <w:rsid w:val="00850D2D"/>
    <w:rsid w:val="008515EB"/>
    <w:rsid w:val="0085209B"/>
    <w:rsid w:val="0085242A"/>
    <w:rsid w:val="0085265C"/>
    <w:rsid w:val="00853BC1"/>
    <w:rsid w:val="00854B27"/>
    <w:rsid w:val="00854DC6"/>
    <w:rsid w:val="008556CD"/>
    <w:rsid w:val="008569F6"/>
    <w:rsid w:val="00856C92"/>
    <w:rsid w:val="00860CCD"/>
    <w:rsid w:val="008612DA"/>
    <w:rsid w:val="008619CD"/>
    <w:rsid w:val="00861C11"/>
    <w:rsid w:val="00862140"/>
    <w:rsid w:val="00862FBB"/>
    <w:rsid w:val="0086310A"/>
    <w:rsid w:val="008633E3"/>
    <w:rsid w:val="008636AA"/>
    <w:rsid w:val="008636BA"/>
    <w:rsid w:val="008642F6"/>
    <w:rsid w:val="008651A6"/>
    <w:rsid w:val="00865492"/>
    <w:rsid w:val="00865D3C"/>
    <w:rsid w:val="00866361"/>
    <w:rsid w:val="008663DC"/>
    <w:rsid w:val="008664ED"/>
    <w:rsid w:val="0086705A"/>
    <w:rsid w:val="00870342"/>
    <w:rsid w:val="00870FCE"/>
    <w:rsid w:val="00871F0C"/>
    <w:rsid w:val="008739DD"/>
    <w:rsid w:val="0087450F"/>
    <w:rsid w:val="008747D0"/>
    <w:rsid w:val="00874E52"/>
    <w:rsid w:val="00874F10"/>
    <w:rsid w:val="00875D46"/>
    <w:rsid w:val="0087674C"/>
    <w:rsid w:val="00876B92"/>
    <w:rsid w:val="00877567"/>
    <w:rsid w:val="00880103"/>
    <w:rsid w:val="0088189C"/>
    <w:rsid w:val="00881B90"/>
    <w:rsid w:val="00882236"/>
    <w:rsid w:val="00882429"/>
    <w:rsid w:val="00882621"/>
    <w:rsid w:val="00882648"/>
    <w:rsid w:val="00883812"/>
    <w:rsid w:val="00883C73"/>
    <w:rsid w:val="00883C83"/>
    <w:rsid w:val="0088417F"/>
    <w:rsid w:val="008842D3"/>
    <w:rsid w:val="00884455"/>
    <w:rsid w:val="0088463E"/>
    <w:rsid w:val="008865AA"/>
    <w:rsid w:val="0088664D"/>
    <w:rsid w:val="0088713A"/>
    <w:rsid w:val="008879D9"/>
    <w:rsid w:val="0089067C"/>
    <w:rsid w:val="00891360"/>
    <w:rsid w:val="00891380"/>
    <w:rsid w:val="00892880"/>
    <w:rsid w:val="00893264"/>
    <w:rsid w:val="00893567"/>
    <w:rsid w:val="00893DBD"/>
    <w:rsid w:val="008959B7"/>
    <w:rsid w:val="00895B4D"/>
    <w:rsid w:val="0089615F"/>
    <w:rsid w:val="00896AF7"/>
    <w:rsid w:val="00896E06"/>
    <w:rsid w:val="00897317"/>
    <w:rsid w:val="00897381"/>
    <w:rsid w:val="00897558"/>
    <w:rsid w:val="008A0D00"/>
    <w:rsid w:val="008A19B7"/>
    <w:rsid w:val="008A20B4"/>
    <w:rsid w:val="008A3196"/>
    <w:rsid w:val="008A36A6"/>
    <w:rsid w:val="008A3A8E"/>
    <w:rsid w:val="008A4C73"/>
    <w:rsid w:val="008A6979"/>
    <w:rsid w:val="008A6C5D"/>
    <w:rsid w:val="008A7DEF"/>
    <w:rsid w:val="008A7F27"/>
    <w:rsid w:val="008B0023"/>
    <w:rsid w:val="008B0F2E"/>
    <w:rsid w:val="008B13AA"/>
    <w:rsid w:val="008B1F05"/>
    <w:rsid w:val="008B2358"/>
    <w:rsid w:val="008B23BD"/>
    <w:rsid w:val="008B2455"/>
    <w:rsid w:val="008B26CE"/>
    <w:rsid w:val="008B462B"/>
    <w:rsid w:val="008B487E"/>
    <w:rsid w:val="008B4C36"/>
    <w:rsid w:val="008B4E67"/>
    <w:rsid w:val="008B54EC"/>
    <w:rsid w:val="008B5F28"/>
    <w:rsid w:val="008B66DC"/>
    <w:rsid w:val="008B6B60"/>
    <w:rsid w:val="008B6DC4"/>
    <w:rsid w:val="008C01F3"/>
    <w:rsid w:val="008C071E"/>
    <w:rsid w:val="008C130E"/>
    <w:rsid w:val="008C1D28"/>
    <w:rsid w:val="008C2F5E"/>
    <w:rsid w:val="008C336A"/>
    <w:rsid w:val="008C3A16"/>
    <w:rsid w:val="008C3D78"/>
    <w:rsid w:val="008C50FA"/>
    <w:rsid w:val="008C5CCD"/>
    <w:rsid w:val="008C5FD2"/>
    <w:rsid w:val="008C7188"/>
    <w:rsid w:val="008C73F2"/>
    <w:rsid w:val="008D0042"/>
    <w:rsid w:val="008D0EED"/>
    <w:rsid w:val="008D1948"/>
    <w:rsid w:val="008D19C5"/>
    <w:rsid w:val="008D19EF"/>
    <w:rsid w:val="008D1A90"/>
    <w:rsid w:val="008D2370"/>
    <w:rsid w:val="008D2A1C"/>
    <w:rsid w:val="008D387E"/>
    <w:rsid w:val="008D3CEE"/>
    <w:rsid w:val="008D4A13"/>
    <w:rsid w:val="008D4EBC"/>
    <w:rsid w:val="008D5828"/>
    <w:rsid w:val="008D73D4"/>
    <w:rsid w:val="008D7749"/>
    <w:rsid w:val="008D7978"/>
    <w:rsid w:val="008E0178"/>
    <w:rsid w:val="008E0254"/>
    <w:rsid w:val="008E1606"/>
    <w:rsid w:val="008E1E6E"/>
    <w:rsid w:val="008E2535"/>
    <w:rsid w:val="008E2771"/>
    <w:rsid w:val="008E28B2"/>
    <w:rsid w:val="008E3242"/>
    <w:rsid w:val="008E4030"/>
    <w:rsid w:val="008E4319"/>
    <w:rsid w:val="008E447A"/>
    <w:rsid w:val="008E5E3D"/>
    <w:rsid w:val="008E6260"/>
    <w:rsid w:val="008E62FE"/>
    <w:rsid w:val="008E6B42"/>
    <w:rsid w:val="008E793C"/>
    <w:rsid w:val="008F0295"/>
    <w:rsid w:val="008F0566"/>
    <w:rsid w:val="008F0B30"/>
    <w:rsid w:val="008F0BE9"/>
    <w:rsid w:val="008F17F5"/>
    <w:rsid w:val="008F20D1"/>
    <w:rsid w:val="008F21CB"/>
    <w:rsid w:val="008F2422"/>
    <w:rsid w:val="008F2464"/>
    <w:rsid w:val="008F24BC"/>
    <w:rsid w:val="008F304A"/>
    <w:rsid w:val="008F3272"/>
    <w:rsid w:val="008F380A"/>
    <w:rsid w:val="008F4107"/>
    <w:rsid w:val="008F4CBD"/>
    <w:rsid w:val="008F66EF"/>
    <w:rsid w:val="008F6A09"/>
    <w:rsid w:val="008F6FA6"/>
    <w:rsid w:val="008F73D0"/>
    <w:rsid w:val="008F75A6"/>
    <w:rsid w:val="009004C1"/>
    <w:rsid w:val="009012CB"/>
    <w:rsid w:val="009027A0"/>
    <w:rsid w:val="00902F87"/>
    <w:rsid w:val="00903143"/>
    <w:rsid w:val="009032EC"/>
    <w:rsid w:val="00903B93"/>
    <w:rsid w:val="00903DB3"/>
    <w:rsid w:val="00904FBC"/>
    <w:rsid w:val="0090543A"/>
    <w:rsid w:val="009054E3"/>
    <w:rsid w:val="00906CBC"/>
    <w:rsid w:val="00906EA7"/>
    <w:rsid w:val="009077B6"/>
    <w:rsid w:val="0091001A"/>
    <w:rsid w:val="00911117"/>
    <w:rsid w:val="00911214"/>
    <w:rsid w:val="009126F5"/>
    <w:rsid w:val="00912A9F"/>
    <w:rsid w:val="00912CBA"/>
    <w:rsid w:val="009144A8"/>
    <w:rsid w:val="009144BC"/>
    <w:rsid w:val="0091568E"/>
    <w:rsid w:val="00915DEA"/>
    <w:rsid w:val="00916A2D"/>
    <w:rsid w:val="00916AC1"/>
    <w:rsid w:val="00916DA5"/>
    <w:rsid w:val="009175E1"/>
    <w:rsid w:val="00920ABB"/>
    <w:rsid w:val="00920D23"/>
    <w:rsid w:val="00920E3A"/>
    <w:rsid w:val="00920E5D"/>
    <w:rsid w:val="00921372"/>
    <w:rsid w:val="0092286F"/>
    <w:rsid w:val="00922A08"/>
    <w:rsid w:val="0092342C"/>
    <w:rsid w:val="009236F1"/>
    <w:rsid w:val="009239FC"/>
    <w:rsid w:val="00923EF3"/>
    <w:rsid w:val="009241BA"/>
    <w:rsid w:val="009247A1"/>
    <w:rsid w:val="00924C09"/>
    <w:rsid w:val="00925009"/>
    <w:rsid w:val="00925EEC"/>
    <w:rsid w:val="009263A6"/>
    <w:rsid w:val="009269DA"/>
    <w:rsid w:val="00926AFA"/>
    <w:rsid w:val="0092700E"/>
    <w:rsid w:val="00927B36"/>
    <w:rsid w:val="0093041D"/>
    <w:rsid w:val="00930552"/>
    <w:rsid w:val="0093060E"/>
    <w:rsid w:val="00930CB2"/>
    <w:rsid w:val="009317A7"/>
    <w:rsid w:val="00932459"/>
    <w:rsid w:val="00932A3A"/>
    <w:rsid w:val="00933F1C"/>
    <w:rsid w:val="00934D36"/>
    <w:rsid w:val="009350FF"/>
    <w:rsid w:val="009357F4"/>
    <w:rsid w:val="009369A7"/>
    <w:rsid w:val="00936A32"/>
    <w:rsid w:val="00936E87"/>
    <w:rsid w:val="00936FE3"/>
    <w:rsid w:val="009374AA"/>
    <w:rsid w:val="00937603"/>
    <w:rsid w:val="00937635"/>
    <w:rsid w:val="00937A28"/>
    <w:rsid w:val="00937AEC"/>
    <w:rsid w:val="00937E41"/>
    <w:rsid w:val="009402F0"/>
    <w:rsid w:val="00940B18"/>
    <w:rsid w:val="00940FFB"/>
    <w:rsid w:val="0094139E"/>
    <w:rsid w:val="00942715"/>
    <w:rsid w:val="009428F1"/>
    <w:rsid w:val="00942A2B"/>
    <w:rsid w:val="00943830"/>
    <w:rsid w:val="0094423C"/>
    <w:rsid w:val="0094442D"/>
    <w:rsid w:val="00945558"/>
    <w:rsid w:val="0094687F"/>
    <w:rsid w:val="00947615"/>
    <w:rsid w:val="00947648"/>
    <w:rsid w:val="00947ED0"/>
    <w:rsid w:val="009501E7"/>
    <w:rsid w:val="0095076B"/>
    <w:rsid w:val="009525A6"/>
    <w:rsid w:val="009536C6"/>
    <w:rsid w:val="00953A55"/>
    <w:rsid w:val="00953AF6"/>
    <w:rsid w:val="00953EC7"/>
    <w:rsid w:val="0095403F"/>
    <w:rsid w:val="00954224"/>
    <w:rsid w:val="009542C4"/>
    <w:rsid w:val="00954471"/>
    <w:rsid w:val="00954FA9"/>
    <w:rsid w:val="00956CAE"/>
    <w:rsid w:val="00957212"/>
    <w:rsid w:val="009572DD"/>
    <w:rsid w:val="009573D4"/>
    <w:rsid w:val="00960576"/>
    <w:rsid w:val="00960AE3"/>
    <w:rsid w:val="009615DB"/>
    <w:rsid w:val="009618E6"/>
    <w:rsid w:val="00961A9C"/>
    <w:rsid w:val="00961F72"/>
    <w:rsid w:val="009620A7"/>
    <w:rsid w:val="009620DA"/>
    <w:rsid w:val="009623CD"/>
    <w:rsid w:val="00962486"/>
    <w:rsid w:val="00962E86"/>
    <w:rsid w:val="009632DA"/>
    <w:rsid w:val="0096354E"/>
    <w:rsid w:val="0096474E"/>
    <w:rsid w:val="00964A81"/>
    <w:rsid w:val="00964FAD"/>
    <w:rsid w:val="00965079"/>
    <w:rsid w:val="0096545C"/>
    <w:rsid w:val="00965B85"/>
    <w:rsid w:val="00965BBA"/>
    <w:rsid w:val="00965BFE"/>
    <w:rsid w:val="00966288"/>
    <w:rsid w:val="00967659"/>
    <w:rsid w:val="009678EC"/>
    <w:rsid w:val="0097025F"/>
    <w:rsid w:val="00970889"/>
    <w:rsid w:val="00971188"/>
    <w:rsid w:val="00971196"/>
    <w:rsid w:val="00971651"/>
    <w:rsid w:val="00971855"/>
    <w:rsid w:val="009729E2"/>
    <w:rsid w:val="00972D17"/>
    <w:rsid w:val="009731EB"/>
    <w:rsid w:val="00975361"/>
    <w:rsid w:val="00976924"/>
    <w:rsid w:val="0097696B"/>
    <w:rsid w:val="0097799B"/>
    <w:rsid w:val="00980094"/>
    <w:rsid w:val="00980842"/>
    <w:rsid w:val="00980C84"/>
    <w:rsid w:val="00980FE3"/>
    <w:rsid w:val="00981F78"/>
    <w:rsid w:val="009821E5"/>
    <w:rsid w:val="009823B5"/>
    <w:rsid w:val="00982B81"/>
    <w:rsid w:val="00982CE2"/>
    <w:rsid w:val="00983588"/>
    <w:rsid w:val="00983B8B"/>
    <w:rsid w:val="00983E84"/>
    <w:rsid w:val="00983F71"/>
    <w:rsid w:val="009859E2"/>
    <w:rsid w:val="00985F49"/>
    <w:rsid w:val="00986477"/>
    <w:rsid w:val="00986722"/>
    <w:rsid w:val="00986AC1"/>
    <w:rsid w:val="00986CF3"/>
    <w:rsid w:val="009871C6"/>
    <w:rsid w:val="00987414"/>
    <w:rsid w:val="00987859"/>
    <w:rsid w:val="009901C1"/>
    <w:rsid w:val="009906B0"/>
    <w:rsid w:val="0099076C"/>
    <w:rsid w:val="00990FD9"/>
    <w:rsid w:val="009925DA"/>
    <w:rsid w:val="00992A63"/>
    <w:rsid w:val="0099444C"/>
    <w:rsid w:val="00994655"/>
    <w:rsid w:val="009946A0"/>
    <w:rsid w:val="009948BE"/>
    <w:rsid w:val="00994B07"/>
    <w:rsid w:val="00994CCD"/>
    <w:rsid w:val="009951EB"/>
    <w:rsid w:val="00995451"/>
    <w:rsid w:val="00995696"/>
    <w:rsid w:val="0099588C"/>
    <w:rsid w:val="00995CA4"/>
    <w:rsid w:val="00997B54"/>
    <w:rsid w:val="00997BC4"/>
    <w:rsid w:val="009A034D"/>
    <w:rsid w:val="009A0AB0"/>
    <w:rsid w:val="009A108F"/>
    <w:rsid w:val="009A14E5"/>
    <w:rsid w:val="009A1818"/>
    <w:rsid w:val="009A199E"/>
    <w:rsid w:val="009A242B"/>
    <w:rsid w:val="009A257B"/>
    <w:rsid w:val="009A26BE"/>
    <w:rsid w:val="009A275C"/>
    <w:rsid w:val="009A27A3"/>
    <w:rsid w:val="009A2EB7"/>
    <w:rsid w:val="009A3DC0"/>
    <w:rsid w:val="009A4088"/>
    <w:rsid w:val="009A413B"/>
    <w:rsid w:val="009A50D7"/>
    <w:rsid w:val="009A5BFA"/>
    <w:rsid w:val="009A61A7"/>
    <w:rsid w:val="009A7147"/>
    <w:rsid w:val="009A7997"/>
    <w:rsid w:val="009B1370"/>
    <w:rsid w:val="009B1487"/>
    <w:rsid w:val="009B1C39"/>
    <w:rsid w:val="009B24B6"/>
    <w:rsid w:val="009B2626"/>
    <w:rsid w:val="009B2E59"/>
    <w:rsid w:val="009B390C"/>
    <w:rsid w:val="009B41AD"/>
    <w:rsid w:val="009B4B2A"/>
    <w:rsid w:val="009B57FD"/>
    <w:rsid w:val="009B5A43"/>
    <w:rsid w:val="009B61ED"/>
    <w:rsid w:val="009B6B51"/>
    <w:rsid w:val="009B6F0E"/>
    <w:rsid w:val="009B70A6"/>
    <w:rsid w:val="009B71E3"/>
    <w:rsid w:val="009B7A8C"/>
    <w:rsid w:val="009C041B"/>
    <w:rsid w:val="009C0DB6"/>
    <w:rsid w:val="009C197C"/>
    <w:rsid w:val="009C21B2"/>
    <w:rsid w:val="009C2A92"/>
    <w:rsid w:val="009C2FED"/>
    <w:rsid w:val="009C3061"/>
    <w:rsid w:val="009C3502"/>
    <w:rsid w:val="009C363F"/>
    <w:rsid w:val="009C3C30"/>
    <w:rsid w:val="009C3FCE"/>
    <w:rsid w:val="009C41E4"/>
    <w:rsid w:val="009C41FF"/>
    <w:rsid w:val="009C4F08"/>
    <w:rsid w:val="009C583D"/>
    <w:rsid w:val="009C5F65"/>
    <w:rsid w:val="009C722B"/>
    <w:rsid w:val="009C7392"/>
    <w:rsid w:val="009D078C"/>
    <w:rsid w:val="009D0A6E"/>
    <w:rsid w:val="009D0BD4"/>
    <w:rsid w:val="009D0CE8"/>
    <w:rsid w:val="009D114C"/>
    <w:rsid w:val="009D125E"/>
    <w:rsid w:val="009D188D"/>
    <w:rsid w:val="009D190B"/>
    <w:rsid w:val="009D1EDB"/>
    <w:rsid w:val="009D2885"/>
    <w:rsid w:val="009D2A2D"/>
    <w:rsid w:val="009D2C8D"/>
    <w:rsid w:val="009D333B"/>
    <w:rsid w:val="009D35D9"/>
    <w:rsid w:val="009D38D4"/>
    <w:rsid w:val="009D3EA1"/>
    <w:rsid w:val="009D4C26"/>
    <w:rsid w:val="009D4C40"/>
    <w:rsid w:val="009D4D3B"/>
    <w:rsid w:val="009D4DA9"/>
    <w:rsid w:val="009D58A2"/>
    <w:rsid w:val="009D5DF5"/>
    <w:rsid w:val="009D5F29"/>
    <w:rsid w:val="009D67F0"/>
    <w:rsid w:val="009D6B91"/>
    <w:rsid w:val="009D6DD0"/>
    <w:rsid w:val="009D7A45"/>
    <w:rsid w:val="009E1386"/>
    <w:rsid w:val="009E2CF1"/>
    <w:rsid w:val="009E2F1D"/>
    <w:rsid w:val="009E3737"/>
    <w:rsid w:val="009E408D"/>
    <w:rsid w:val="009E4FEA"/>
    <w:rsid w:val="009E5331"/>
    <w:rsid w:val="009E556B"/>
    <w:rsid w:val="009E5D3F"/>
    <w:rsid w:val="009E5E2A"/>
    <w:rsid w:val="009E6122"/>
    <w:rsid w:val="009E683D"/>
    <w:rsid w:val="009E6FFF"/>
    <w:rsid w:val="009F08DE"/>
    <w:rsid w:val="009F0E20"/>
    <w:rsid w:val="009F2AD8"/>
    <w:rsid w:val="009F2B2A"/>
    <w:rsid w:val="009F2C15"/>
    <w:rsid w:val="009F37EE"/>
    <w:rsid w:val="009F3ACA"/>
    <w:rsid w:val="009F3E32"/>
    <w:rsid w:val="009F4791"/>
    <w:rsid w:val="009F4F3F"/>
    <w:rsid w:val="009F54C2"/>
    <w:rsid w:val="009F5DD5"/>
    <w:rsid w:val="009F605C"/>
    <w:rsid w:val="009F7621"/>
    <w:rsid w:val="009F7A69"/>
    <w:rsid w:val="00A00ACC"/>
    <w:rsid w:val="00A0167C"/>
    <w:rsid w:val="00A01686"/>
    <w:rsid w:val="00A01A74"/>
    <w:rsid w:val="00A02FC7"/>
    <w:rsid w:val="00A03A8F"/>
    <w:rsid w:val="00A03B31"/>
    <w:rsid w:val="00A04136"/>
    <w:rsid w:val="00A04934"/>
    <w:rsid w:val="00A04935"/>
    <w:rsid w:val="00A049FD"/>
    <w:rsid w:val="00A05478"/>
    <w:rsid w:val="00A0565E"/>
    <w:rsid w:val="00A05FFA"/>
    <w:rsid w:val="00A061F5"/>
    <w:rsid w:val="00A079E5"/>
    <w:rsid w:val="00A079ED"/>
    <w:rsid w:val="00A07DC9"/>
    <w:rsid w:val="00A1011D"/>
    <w:rsid w:val="00A10C88"/>
    <w:rsid w:val="00A1161F"/>
    <w:rsid w:val="00A11D4B"/>
    <w:rsid w:val="00A11F5F"/>
    <w:rsid w:val="00A11FF2"/>
    <w:rsid w:val="00A12352"/>
    <w:rsid w:val="00A12D72"/>
    <w:rsid w:val="00A12E2D"/>
    <w:rsid w:val="00A134C7"/>
    <w:rsid w:val="00A1386C"/>
    <w:rsid w:val="00A142DF"/>
    <w:rsid w:val="00A14655"/>
    <w:rsid w:val="00A1471C"/>
    <w:rsid w:val="00A14BF5"/>
    <w:rsid w:val="00A151BA"/>
    <w:rsid w:val="00A152A0"/>
    <w:rsid w:val="00A15B7E"/>
    <w:rsid w:val="00A15F56"/>
    <w:rsid w:val="00A15FD0"/>
    <w:rsid w:val="00A169E6"/>
    <w:rsid w:val="00A16B8A"/>
    <w:rsid w:val="00A17533"/>
    <w:rsid w:val="00A17D9A"/>
    <w:rsid w:val="00A20B9D"/>
    <w:rsid w:val="00A20CA7"/>
    <w:rsid w:val="00A21C27"/>
    <w:rsid w:val="00A21F2E"/>
    <w:rsid w:val="00A22044"/>
    <w:rsid w:val="00A22607"/>
    <w:rsid w:val="00A22BD2"/>
    <w:rsid w:val="00A23119"/>
    <w:rsid w:val="00A2432A"/>
    <w:rsid w:val="00A2517E"/>
    <w:rsid w:val="00A2580F"/>
    <w:rsid w:val="00A26192"/>
    <w:rsid w:val="00A2632F"/>
    <w:rsid w:val="00A2634D"/>
    <w:rsid w:val="00A26513"/>
    <w:rsid w:val="00A26FB1"/>
    <w:rsid w:val="00A2726A"/>
    <w:rsid w:val="00A27C22"/>
    <w:rsid w:val="00A301CE"/>
    <w:rsid w:val="00A301D0"/>
    <w:rsid w:val="00A30C8D"/>
    <w:rsid w:val="00A315CD"/>
    <w:rsid w:val="00A31670"/>
    <w:rsid w:val="00A31A42"/>
    <w:rsid w:val="00A33920"/>
    <w:rsid w:val="00A33E87"/>
    <w:rsid w:val="00A33F19"/>
    <w:rsid w:val="00A34005"/>
    <w:rsid w:val="00A343B2"/>
    <w:rsid w:val="00A34D41"/>
    <w:rsid w:val="00A350C0"/>
    <w:rsid w:val="00A358C3"/>
    <w:rsid w:val="00A4035E"/>
    <w:rsid w:val="00A4063E"/>
    <w:rsid w:val="00A41A4A"/>
    <w:rsid w:val="00A42402"/>
    <w:rsid w:val="00A4276F"/>
    <w:rsid w:val="00A430B0"/>
    <w:rsid w:val="00A434B0"/>
    <w:rsid w:val="00A43FB5"/>
    <w:rsid w:val="00A46814"/>
    <w:rsid w:val="00A46EBA"/>
    <w:rsid w:val="00A474F6"/>
    <w:rsid w:val="00A50621"/>
    <w:rsid w:val="00A508B6"/>
    <w:rsid w:val="00A515F0"/>
    <w:rsid w:val="00A519BB"/>
    <w:rsid w:val="00A52252"/>
    <w:rsid w:val="00A524CF"/>
    <w:rsid w:val="00A5264A"/>
    <w:rsid w:val="00A52693"/>
    <w:rsid w:val="00A52BB9"/>
    <w:rsid w:val="00A52EEA"/>
    <w:rsid w:val="00A537D8"/>
    <w:rsid w:val="00A5546C"/>
    <w:rsid w:val="00A55DBA"/>
    <w:rsid w:val="00A560E1"/>
    <w:rsid w:val="00A561A7"/>
    <w:rsid w:val="00A56846"/>
    <w:rsid w:val="00A568CB"/>
    <w:rsid w:val="00A578BD"/>
    <w:rsid w:val="00A57D9B"/>
    <w:rsid w:val="00A60291"/>
    <w:rsid w:val="00A6034C"/>
    <w:rsid w:val="00A60C81"/>
    <w:rsid w:val="00A60CF2"/>
    <w:rsid w:val="00A61B5E"/>
    <w:rsid w:val="00A621D6"/>
    <w:rsid w:val="00A62383"/>
    <w:rsid w:val="00A63EF5"/>
    <w:rsid w:val="00A6487F"/>
    <w:rsid w:val="00A65956"/>
    <w:rsid w:val="00A65AB9"/>
    <w:rsid w:val="00A65ED7"/>
    <w:rsid w:val="00A660A3"/>
    <w:rsid w:val="00A6672A"/>
    <w:rsid w:val="00A6697F"/>
    <w:rsid w:val="00A66CEF"/>
    <w:rsid w:val="00A67007"/>
    <w:rsid w:val="00A67E8D"/>
    <w:rsid w:val="00A700D4"/>
    <w:rsid w:val="00A70B8C"/>
    <w:rsid w:val="00A70FDE"/>
    <w:rsid w:val="00A713F7"/>
    <w:rsid w:val="00A718EB"/>
    <w:rsid w:val="00A71CED"/>
    <w:rsid w:val="00A71DAA"/>
    <w:rsid w:val="00A72950"/>
    <w:rsid w:val="00A72FF1"/>
    <w:rsid w:val="00A7354A"/>
    <w:rsid w:val="00A7363C"/>
    <w:rsid w:val="00A73E45"/>
    <w:rsid w:val="00A74643"/>
    <w:rsid w:val="00A763BA"/>
    <w:rsid w:val="00A77474"/>
    <w:rsid w:val="00A77A66"/>
    <w:rsid w:val="00A80472"/>
    <w:rsid w:val="00A804AC"/>
    <w:rsid w:val="00A809AE"/>
    <w:rsid w:val="00A8175A"/>
    <w:rsid w:val="00A81C8F"/>
    <w:rsid w:val="00A82643"/>
    <w:rsid w:val="00A82760"/>
    <w:rsid w:val="00A82B26"/>
    <w:rsid w:val="00A83485"/>
    <w:rsid w:val="00A83504"/>
    <w:rsid w:val="00A83884"/>
    <w:rsid w:val="00A83E95"/>
    <w:rsid w:val="00A84E40"/>
    <w:rsid w:val="00A84F53"/>
    <w:rsid w:val="00A8508B"/>
    <w:rsid w:val="00A8513A"/>
    <w:rsid w:val="00A8724D"/>
    <w:rsid w:val="00A8793F"/>
    <w:rsid w:val="00A87946"/>
    <w:rsid w:val="00A90078"/>
    <w:rsid w:val="00A904B1"/>
    <w:rsid w:val="00A919FE"/>
    <w:rsid w:val="00A91A4E"/>
    <w:rsid w:val="00A9212D"/>
    <w:rsid w:val="00A93103"/>
    <w:rsid w:val="00A93908"/>
    <w:rsid w:val="00A9415B"/>
    <w:rsid w:val="00A949B9"/>
    <w:rsid w:val="00A94A95"/>
    <w:rsid w:val="00A952A8"/>
    <w:rsid w:val="00A956CA"/>
    <w:rsid w:val="00A96A0B"/>
    <w:rsid w:val="00A96C41"/>
    <w:rsid w:val="00A9705C"/>
    <w:rsid w:val="00A978D4"/>
    <w:rsid w:val="00AA0090"/>
    <w:rsid w:val="00AA0817"/>
    <w:rsid w:val="00AA126C"/>
    <w:rsid w:val="00AA1308"/>
    <w:rsid w:val="00AA1788"/>
    <w:rsid w:val="00AA1951"/>
    <w:rsid w:val="00AA2AB1"/>
    <w:rsid w:val="00AA2C1A"/>
    <w:rsid w:val="00AA2F7F"/>
    <w:rsid w:val="00AA33D0"/>
    <w:rsid w:val="00AA3884"/>
    <w:rsid w:val="00AA3AE2"/>
    <w:rsid w:val="00AA3DAA"/>
    <w:rsid w:val="00AA43B0"/>
    <w:rsid w:val="00AA44FC"/>
    <w:rsid w:val="00AA47F7"/>
    <w:rsid w:val="00AA63E4"/>
    <w:rsid w:val="00AA7337"/>
    <w:rsid w:val="00AA7347"/>
    <w:rsid w:val="00AA7363"/>
    <w:rsid w:val="00AA7D4B"/>
    <w:rsid w:val="00AA7D8D"/>
    <w:rsid w:val="00AB0420"/>
    <w:rsid w:val="00AB0628"/>
    <w:rsid w:val="00AB074F"/>
    <w:rsid w:val="00AB084A"/>
    <w:rsid w:val="00AB0E7D"/>
    <w:rsid w:val="00AB100B"/>
    <w:rsid w:val="00AB17AB"/>
    <w:rsid w:val="00AB212A"/>
    <w:rsid w:val="00AB230D"/>
    <w:rsid w:val="00AB2BD1"/>
    <w:rsid w:val="00AB31EF"/>
    <w:rsid w:val="00AB3749"/>
    <w:rsid w:val="00AB3979"/>
    <w:rsid w:val="00AB3FA5"/>
    <w:rsid w:val="00AB4030"/>
    <w:rsid w:val="00AB4843"/>
    <w:rsid w:val="00AB5A4A"/>
    <w:rsid w:val="00AB62A3"/>
    <w:rsid w:val="00AB6E8B"/>
    <w:rsid w:val="00AB7401"/>
    <w:rsid w:val="00AB7A11"/>
    <w:rsid w:val="00AC049E"/>
    <w:rsid w:val="00AC0AE0"/>
    <w:rsid w:val="00AC10CB"/>
    <w:rsid w:val="00AC1616"/>
    <w:rsid w:val="00AC268A"/>
    <w:rsid w:val="00AC26F1"/>
    <w:rsid w:val="00AC37FC"/>
    <w:rsid w:val="00AC40C2"/>
    <w:rsid w:val="00AC4481"/>
    <w:rsid w:val="00AC44CA"/>
    <w:rsid w:val="00AC4D59"/>
    <w:rsid w:val="00AC63E8"/>
    <w:rsid w:val="00AC72A3"/>
    <w:rsid w:val="00AC7C51"/>
    <w:rsid w:val="00AC7E9C"/>
    <w:rsid w:val="00AD03AD"/>
    <w:rsid w:val="00AD145E"/>
    <w:rsid w:val="00AD24D6"/>
    <w:rsid w:val="00AD2E22"/>
    <w:rsid w:val="00AD3410"/>
    <w:rsid w:val="00AD3415"/>
    <w:rsid w:val="00AD36D2"/>
    <w:rsid w:val="00AD370B"/>
    <w:rsid w:val="00AD3F56"/>
    <w:rsid w:val="00AD4442"/>
    <w:rsid w:val="00AD47F0"/>
    <w:rsid w:val="00AD4887"/>
    <w:rsid w:val="00AD4A5A"/>
    <w:rsid w:val="00AD5383"/>
    <w:rsid w:val="00AD616D"/>
    <w:rsid w:val="00AD6AD7"/>
    <w:rsid w:val="00AE13F5"/>
    <w:rsid w:val="00AE1656"/>
    <w:rsid w:val="00AE1779"/>
    <w:rsid w:val="00AE1D15"/>
    <w:rsid w:val="00AE27A2"/>
    <w:rsid w:val="00AE443C"/>
    <w:rsid w:val="00AE4A90"/>
    <w:rsid w:val="00AE505D"/>
    <w:rsid w:val="00AE5304"/>
    <w:rsid w:val="00AE5509"/>
    <w:rsid w:val="00AE557D"/>
    <w:rsid w:val="00AE6271"/>
    <w:rsid w:val="00AE7A62"/>
    <w:rsid w:val="00AF0AD0"/>
    <w:rsid w:val="00AF105D"/>
    <w:rsid w:val="00AF14EA"/>
    <w:rsid w:val="00AF22B7"/>
    <w:rsid w:val="00AF24E2"/>
    <w:rsid w:val="00AF317A"/>
    <w:rsid w:val="00AF374D"/>
    <w:rsid w:val="00AF425E"/>
    <w:rsid w:val="00AF6201"/>
    <w:rsid w:val="00AF66B2"/>
    <w:rsid w:val="00AF6977"/>
    <w:rsid w:val="00AF6B13"/>
    <w:rsid w:val="00AF6C54"/>
    <w:rsid w:val="00AF7A0A"/>
    <w:rsid w:val="00AF7D5D"/>
    <w:rsid w:val="00B002B5"/>
    <w:rsid w:val="00B00401"/>
    <w:rsid w:val="00B00960"/>
    <w:rsid w:val="00B00DF0"/>
    <w:rsid w:val="00B012C8"/>
    <w:rsid w:val="00B0135A"/>
    <w:rsid w:val="00B01710"/>
    <w:rsid w:val="00B01AF9"/>
    <w:rsid w:val="00B01B6D"/>
    <w:rsid w:val="00B02B7E"/>
    <w:rsid w:val="00B02C48"/>
    <w:rsid w:val="00B046E1"/>
    <w:rsid w:val="00B05228"/>
    <w:rsid w:val="00B076A0"/>
    <w:rsid w:val="00B07BD9"/>
    <w:rsid w:val="00B105E7"/>
    <w:rsid w:val="00B10EDE"/>
    <w:rsid w:val="00B117E3"/>
    <w:rsid w:val="00B11A01"/>
    <w:rsid w:val="00B12BFE"/>
    <w:rsid w:val="00B1510F"/>
    <w:rsid w:val="00B1569E"/>
    <w:rsid w:val="00B15951"/>
    <w:rsid w:val="00B15CE3"/>
    <w:rsid w:val="00B15F00"/>
    <w:rsid w:val="00B16030"/>
    <w:rsid w:val="00B16921"/>
    <w:rsid w:val="00B170D8"/>
    <w:rsid w:val="00B172EF"/>
    <w:rsid w:val="00B17470"/>
    <w:rsid w:val="00B2020F"/>
    <w:rsid w:val="00B204F3"/>
    <w:rsid w:val="00B212BF"/>
    <w:rsid w:val="00B21419"/>
    <w:rsid w:val="00B21A9E"/>
    <w:rsid w:val="00B21CE8"/>
    <w:rsid w:val="00B21E6B"/>
    <w:rsid w:val="00B22C5C"/>
    <w:rsid w:val="00B22E1A"/>
    <w:rsid w:val="00B23964"/>
    <w:rsid w:val="00B23A2A"/>
    <w:rsid w:val="00B24AD2"/>
    <w:rsid w:val="00B24E1B"/>
    <w:rsid w:val="00B25343"/>
    <w:rsid w:val="00B254B8"/>
    <w:rsid w:val="00B2563D"/>
    <w:rsid w:val="00B25FF5"/>
    <w:rsid w:val="00B263A3"/>
    <w:rsid w:val="00B26A94"/>
    <w:rsid w:val="00B27C4F"/>
    <w:rsid w:val="00B31743"/>
    <w:rsid w:val="00B3221F"/>
    <w:rsid w:val="00B328E5"/>
    <w:rsid w:val="00B32CF5"/>
    <w:rsid w:val="00B3475E"/>
    <w:rsid w:val="00B35DDC"/>
    <w:rsid w:val="00B35FA5"/>
    <w:rsid w:val="00B362D1"/>
    <w:rsid w:val="00B36719"/>
    <w:rsid w:val="00B36864"/>
    <w:rsid w:val="00B36B19"/>
    <w:rsid w:val="00B37A42"/>
    <w:rsid w:val="00B40D03"/>
    <w:rsid w:val="00B40D69"/>
    <w:rsid w:val="00B4115D"/>
    <w:rsid w:val="00B4122D"/>
    <w:rsid w:val="00B4125F"/>
    <w:rsid w:val="00B415AE"/>
    <w:rsid w:val="00B41D6C"/>
    <w:rsid w:val="00B41D97"/>
    <w:rsid w:val="00B42189"/>
    <w:rsid w:val="00B428A8"/>
    <w:rsid w:val="00B42C62"/>
    <w:rsid w:val="00B43844"/>
    <w:rsid w:val="00B43B28"/>
    <w:rsid w:val="00B445DC"/>
    <w:rsid w:val="00B44875"/>
    <w:rsid w:val="00B448DA"/>
    <w:rsid w:val="00B449C6"/>
    <w:rsid w:val="00B45426"/>
    <w:rsid w:val="00B463AF"/>
    <w:rsid w:val="00B46748"/>
    <w:rsid w:val="00B47694"/>
    <w:rsid w:val="00B47F21"/>
    <w:rsid w:val="00B52F94"/>
    <w:rsid w:val="00B53446"/>
    <w:rsid w:val="00B53880"/>
    <w:rsid w:val="00B539BE"/>
    <w:rsid w:val="00B53FAF"/>
    <w:rsid w:val="00B53FE4"/>
    <w:rsid w:val="00B54804"/>
    <w:rsid w:val="00B55A22"/>
    <w:rsid w:val="00B55DF8"/>
    <w:rsid w:val="00B5746C"/>
    <w:rsid w:val="00B576E1"/>
    <w:rsid w:val="00B57982"/>
    <w:rsid w:val="00B60327"/>
    <w:rsid w:val="00B620D9"/>
    <w:rsid w:val="00B627B4"/>
    <w:rsid w:val="00B62E42"/>
    <w:rsid w:val="00B6390B"/>
    <w:rsid w:val="00B63952"/>
    <w:rsid w:val="00B63CEF"/>
    <w:rsid w:val="00B64277"/>
    <w:rsid w:val="00B647A9"/>
    <w:rsid w:val="00B656ED"/>
    <w:rsid w:val="00B65920"/>
    <w:rsid w:val="00B65AA9"/>
    <w:rsid w:val="00B66E91"/>
    <w:rsid w:val="00B674D9"/>
    <w:rsid w:val="00B6793C"/>
    <w:rsid w:val="00B67B60"/>
    <w:rsid w:val="00B67BB1"/>
    <w:rsid w:val="00B67ECF"/>
    <w:rsid w:val="00B70271"/>
    <w:rsid w:val="00B711BF"/>
    <w:rsid w:val="00B7156B"/>
    <w:rsid w:val="00B719ED"/>
    <w:rsid w:val="00B71B83"/>
    <w:rsid w:val="00B723D6"/>
    <w:rsid w:val="00B72712"/>
    <w:rsid w:val="00B72C58"/>
    <w:rsid w:val="00B73834"/>
    <w:rsid w:val="00B73AE7"/>
    <w:rsid w:val="00B73C48"/>
    <w:rsid w:val="00B73DC9"/>
    <w:rsid w:val="00B74195"/>
    <w:rsid w:val="00B745DB"/>
    <w:rsid w:val="00B75871"/>
    <w:rsid w:val="00B76B60"/>
    <w:rsid w:val="00B76C7A"/>
    <w:rsid w:val="00B77142"/>
    <w:rsid w:val="00B774AD"/>
    <w:rsid w:val="00B77874"/>
    <w:rsid w:val="00B80198"/>
    <w:rsid w:val="00B8040C"/>
    <w:rsid w:val="00B80836"/>
    <w:rsid w:val="00B81622"/>
    <w:rsid w:val="00B81EB9"/>
    <w:rsid w:val="00B834E4"/>
    <w:rsid w:val="00B83641"/>
    <w:rsid w:val="00B837B5"/>
    <w:rsid w:val="00B83DD6"/>
    <w:rsid w:val="00B83E72"/>
    <w:rsid w:val="00B84B7B"/>
    <w:rsid w:val="00B85111"/>
    <w:rsid w:val="00B85388"/>
    <w:rsid w:val="00B86F77"/>
    <w:rsid w:val="00B90037"/>
    <w:rsid w:val="00B90108"/>
    <w:rsid w:val="00B901F7"/>
    <w:rsid w:val="00B90949"/>
    <w:rsid w:val="00B90BFF"/>
    <w:rsid w:val="00B91D43"/>
    <w:rsid w:val="00B93F37"/>
    <w:rsid w:val="00B94076"/>
    <w:rsid w:val="00B9494B"/>
    <w:rsid w:val="00B94F7C"/>
    <w:rsid w:val="00B95429"/>
    <w:rsid w:val="00B9614F"/>
    <w:rsid w:val="00B966B0"/>
    <w:rsid w:val="00B97279"/>
    <w:rsid w:val="00B97876"/>
    <w:rsid w:val="00B9792A"/>
    <w:rsid w:val="00BA01FA"/>
    <w:rsid w:val="00BA0911"/>
    <w:rsid w:val="00BA150B"/>
    <w:rsid w:val="00BA1C5D"/>
    <w:rsid w:val="00BA1E25"/>
    <w:rsid w:val="00BA2474"/>
    <w:rsid w:val="00BA25D3"/>
    <w:rsid w:val="00BA2684"/>
    <w:rsid w:val="00BA27EB"/>
    <w:rsid w:val="00BA44CF"/>
    <w:rsid w:val="00BA4919"/>
    <w:rsid w:val="00BA4B08"/>
    <w:rsid w:val="00BA5616"/>
    <w:rsid w:val="00BA5636"/>
    <w:rsid w:val="00BA597E"/>
    <w:rsid w:val="00BA6113"/>
    <w:rsid w:val="00BA624C"/>
    <w:rsid w:val="00BA6AE0"/>
    <w:rsid w:val="00BA739B"/>
    <w:rsid w:val="00BA7EAC"/>
    <w:rsid w:val="00BB0905"/>
    <w:rsid w:val="00BB1763"/>
    <w:rsid w:val="00BB2A7A"/>
    <w:rsid w:val="00BB2F07"/>
    <w:rsid w:val="00BB5C04"/>
    <w:rsid w:val="00BB5E40"/>
    <w:rsid w:val="00BB5E75"/>
    <w:rsid w:val="00BB610F"/>
    <w:rsid w:val="00BB7006"/>
    <w:rsid w:val="00BB74FE"/>
    <w:rsid w:val="00BB793E"/>
    <w:rsid w:val="00BB7A8C"/>
    <w:rsid w:val="00BC19E5"/>
    <w:rsid w:val="00BC235E"/>
    <w:rsid w:val="00BC26B7"/>
    <w:rsid w:val="00BC29D5"/>
    <w:rsid w:val="00BC42F3"/>
    <w:rsid w:val="00BC43C5"/>
    <w:rsid w:val="00BC4457"/>
    <w:rsid w:val="00BC4991"/>
    <w:rsid w:val="00BC4B1A"/>
    <w:rsid w:val="00BC4E42"/>
    <w:rsid w:val="00BC70C6"/>
    <w:rsid w:val="00BC7892"/>
    <w:rsid w:val="00BD0D84"/>
    <w:rsid w:val="00BD2272"/>
    <w:rsid w:val="00BD2597"/>
    <w:rsid w:val="00BD2B61"/>
    <w:rsid w:val="00BD347A"/>
    <w:rsid w:val="00BD356C"/>
    <w:rsid w:val="00BD3D2B"/>
    <w:rsid w:val="00BD3D58"/>
    <w:rsid w:val="00BD3DF4"/>
    <w:rsid w:val="00BD3E54"/>
    <w:rsid w:val="00BD40B1"/>
    <w:rsid w:val="00BD4376"/>
    <w:rsid w:val="00BD4948"/>
    <w:rsid w:val="00BD4A0A"/>
    <w:rsid w:val="00BD515E"/>
    <w:rsid w:val="00BD5708"/>
    <w:rsid w:val="00BD5977"/>
    <w:rsid w:val="00BD6843"/>
    <w:rsid w:val="00BD6EE5"/>
    <w:rsid w:val="00BD78D2"/>
    <w:rsid w:val="00BE020C"/>
    <w:rsid w:val="00BE051A"/>
    <w:rsid w:val="00BE17C5"/>
    <w:rsid w:val="00BE2018"/>
    <w:rsid w:val="00BE2A11"/>
    <w:rsid w:val="00BE3362"/>
    <w:rsid w:val="00BE33AC"/>
    <w:rsid w:val="00BE3A28"/>
    <w:rsid w:val="00BE4169"/>
    <w:rsid w:val="00BE5718"/>
    <w:rsid w:val="00BE59F3"/>
    <w:rsid w:val="00BE5FD5"/>
    <w:rsid w:val="00BE6F6F"/>
    <w:rsid w:val="00BE7668"/>
    <w:rsid w:val="00BF0505"/>
    <w:rsid w:val="00BF1456"/>
    <w:rsid w:val="00BF273D"/>
    <w:rsid w:val="00BF2B1A"/>
    <w:rsid w:val="00BF2DEE"/>
    <w:rsid w:val="00BF355C"/>
    <w:rsid w:val="00BF3576"/>
    <w:rsid w:val="00BF4EA7"/>
    <w:rsid w:val="00BF50C7"/>
    <w:rsid w:val="00BF50E0"/>
    <w:rsid w:val="00BF53DD"/>
    <w:rsid w:val="00BF54C8"/>
    <w:rsid w:val="00BF5554"/>
    <w:rsid w:val="00BF569B"/>
    <w:rsid w:val="00BF6FB4"/>
    <w:rsid w:val="00BF6FCD"/>
    <w:rsid w:val="00BF725F"/>
    <w:rsid w:val="00BF7F49"/>
    <w:rsid w:val="00C00517"/>
    <w:rsid w:val="00C0079F"/>
    <w:rsid w:val="00C009AC"/>
    <w:rsid w:val="00C00F96"/>
    <w:rsid w:val="00C010C7"/>
    <w:rsid w:val="00C01433"/>
    <w:rsid w:val="00C0174E"/>
    <w:rsid w:val="00C01980"/>
    <w:rsid w:val="00C02D62"/>
    <w:rsid w:val="00C0323F"/>
    <w:rsid w:val="00C03C06"/>
    <w:rsid w:val="00C05830"/>
    <w:rsid w:val="00C05918"/>
    <w:rsid w:val="00C05DBC"/>
    <w:rsid w:val="00C05EB6"/>
    <w:rsid w:val="00C063BD"/>
    <w:rsid w:val="00C06553"/>
    <w:rsid w:val="00C0694C"/>
    <w:rsid w:val="00C071EF"/>
    <w:rsid w:val="00C07E6C"/>
    <w:rsid w:val="00C11BB2"/>
    <w:rsid w:val="00C122DC"/>
    <w:rsid w:val="00C13026"/>
    <w:rsid w:val="00C13804"/>
    <w:rsid w:val="00C13A16"/>
    <w:rsid w:val="00C13C5B"/>
    <w:rsid w:val="00C14EA2"/>
    <w:rsid w:val="00C1598B"/>
    <w:rsid w:val="00C16507"/>
    <w:rsid w:val="00C170C4"/>
    <w:rsid w:val="00C17551"/>
    <w:rsid w:val="00C1792F"/>
    <w:rsid w:val="00C17983"/>
    <w:rsid w:val="00C17ED2"/>
    <w:rsid w:val="00C17FA8"/>
    <w:rsid w:val="00C17FC1"/>
    <w:rsid w:val="00C20F76"/>
    <w:rsid w:val="00C216FA"/>
    <w:rsid w:val="00C218A7"/>
    <w:rsid w:val="00C21A7E"/>
    <w:rsid w:val="00C21AB1"/>
    <w:rsid w:val="00C22436"/>
    <w:rsid w:val="00C225A4"/>
    <w:rsid w:val="00C22CE1"/>
    <w:rsid w:val="00C24733"/>
    <w:rsid w:val="00C25337"/>
    <w:rsid w:val="00C25631"/>
    <w:rsid w:val="00C25951"/>
    <w:rsid w:val="00C259D0"/>
    <w:rsid w:val="00C25EC0"/>
    <w:rsid w:val="00C26950"/>
    <w:rsid w:val="00C274E8"/>
    <w:rsid w:val="00C276B4"/>
    <w:rsid w:val="00C30423"/>
    <w:rsid w:val="00C30D28"/>
    <w:rsid w:val="00C310F8"/>
    <w:rsid w:val="00C311EC"/>
    <w:rsid w:val="00C320CB"/>
    <w:rsid w:val="00C323F2"/>
    <w:rsid w:val="00C32DC0"/>
    <w:rsid w:val="00C32F4B"/>
    <w:rsid w:val="00C3386E"/>
    <w:rsid w:val="00C33C48"/>
    <w:rsid w:val="00C34D72"/>
    <w:rsid w:val="00C34DCB"/>
    <w:rsid w:val="00C36579"/>
    <w:rsid w:val="00C369E5"/>
    <w:rsid w:val="00C400CD"/>
    <w:rsid w:val="00C40E0D"/>
    <w:rsid w:val="00C40F25"/>
    <w:rsid w:val="00C414E9"/>
    <w:rsid w:val="00C41699"/>
    <w:rsid w:val="00C41B9D"/>
    <w:rsid w:val="00C41E28"/>
    <w:rsid w:val="00C43230"/>
    <w:rsid w:val="00C434A6"/>
    <w:rsid w:val="00C4547B"/>
    <w:rsid w:val="00C45D7B"/>
    <w:rsid w:val="00C4631F"/>
    <w:rsid w:val="00C47C90"/>
    <w:rsid w:val="00C50486"/>
    <w:rsid w:val="00C51286"/>
    <w:rsid w:val="00C515B7"/>
    <w:rsid w:val="00C515C5"/>
    <w:rsid w:val="00C52683"/>
    <w:rsid w:val="00C53EFF"/>
    <w:rsid w:val="00C54743"/>
    <w:rsid w:val="00C549EC"/>
    <w:rsid w:val="00C54D0A"/>
    <w:rsid w:val="00C55BCB"/>
    <w:rsid w:val="00C56E0D"/>
    <w:rsid w:val="00C56FE7"/>
    <w:rsid w:val="00C572D0"/>
    <w:rsid w:val="00C579E3"/>
    <w:rsid w:val="00C6087F"/>
    <w:rsid w:val="00C61C1D"/>
    <w:rsid w:val="00C61C72"/>
    <w:rsid w:val="00C62B7E"/>
    <w:rsid w:val="00C6328F"/>
    <w:rsid w:val="00C63767"/>
    <w:rsid w:val="00C639C8"/>
    <w:rsid w:val="00C6409D"/>
    <w:rsid w:val="00C64EFF"/>
    <w:rsid w:val="00C657AC"/>
    <w:rsid w:val="00C663D8"/>
    <w:rsid w:val="00C66921"/>
    <w:rsid w:val="00C6723F"/>
    <w:rsid w:val="00C6729F"/>
    <w:rsid w:val="00C67832"/>
    <w:rsid w:val="00C67C22"/>
    <w:rsid w:val="00C70A50"/>
    <w:rsid w:val="00C710E9"/>
    <w:rsid w:val="00C7117F"/>
    <w:rsid w:val="00C71439"/>
    <w:rsid w:val="00C72A97"/>
    <w:rsid w:val="00C73179"/>
    <w:rsid w:val="00C76672"/>
    <w:rsid w:val="00C80505"/>
    <w:rsid w:val="00C807B4"/>
    <w:rsid w:val="00C815A9"/>
    <w:rsid w:val="00C820F5"/>
    <w:rsid w:val="00C823D0"/>
    <w:rsid w:val="00C824BF"/>
    <w:rsid w:val="00C82A0F"/>
    <w:rsid w:val="00C82F40"/>
    <w:rsid w:val="00C837D3"/>
    <w:rsid w:val="00C839F8"/>
    <w:rsid w:val="00C83F34"/>
    <w:rsid w:val="00C84CD8"/>
    <w:rsid w:val="00C85E0D"/>
    <w:rsid w:val="00C876FD"/>
    <w:rsid w:val="00C87BF9"/>
    <w:rsid w:val="00C9053D"/>
    <w:rsid w:val="00C91456"/>
    <w:rsid w:val="00C91740"/>
    <w:rsid w:val="00C91947"/>
    <w:rsid w:val="00C91FE1"/>
    <w:rsid w:val="00C92413"/>
    <w:rsid w:val="00C9292D"/>
    <w:rsid w:val="00C92949"/>
    <w:rsid w:val="00C92A02"/>
    <w:rsid w:val="00C92B32"/>
    <w:rsid w:val="00C93CE8"/>
    <w:rsid w:val="00C93D86"/>
    <w:rsid w:val="00C944F8"/>
    <w:rsid w:val="00C95CDF"/>
    <w:rsid w:val="00C95F5A"/>
    <w:rsid w:val="00C96A7F"/>
    <w:rsid w:val="00C96BCC"/>
    <w:rsid w:val="00C96E6B"/>
    <w:rsid w:val="00C97BE6"/>
    <w:rsid w:val="00C97EC4"/>
    <w:rsid w:val="00CA00C1"/>
    <w:rsid w:val="00CA04ED"/>
    <w:rsid w:val="00CA061B"/>
    <w:rsid w:val="00CA0716"/>
    <w:rsid w:val="00CA092A"/>
    <w:rsid w:val="00CA21D2"/>
    <w:rsid w:val="00CA2A9E"/>
    <w:rsid w:val="00CA2EC3"/>
    <w:rsid w:val="00CA3082"/>
    <w:rsid w:val="00CA31B7"/>
    <w:rsid w:val="00CA3B0F"/>
    <w:rsid w:val="00CA4BA6"/>
    <w:rsid w:val="00CA4F93"/>
    <w:rsid w:val="00CA649F"/>
    <w:rsid w:val="00CA66A2"/>
    <w:rsid w:val="00CA728A"/>
    <w:rsid w:val="00CA72B5"/>
    <w:rsid w:val="00CA7463"/>
    <w:rsid w:val="00CA7ADB"/>
    <w:rsid w:val="00CA7E53"/>
    <w:rsid w:val="00CB02D2"/>
    <w:rsid w:val="00CB0A8E"/>
    <w:rsid w:val="00CB15BD"/>
    <w:rsid w:val="00CB27CB"/>
    <w:rsid w:val="00CB2CB5"/>
    <w:rsid w:val="00CB356B"/>
    <w:rsid w:val="00CB4677"/>
    <w:rsid w:val="00CB49D5"/>
    <w:rsid w:val="00CB4D64"/>
    <w:rsid w:val="00CB4F17"/>
    <w:rsid w:val="00CB5022"/>
    <w:rsid w:val="00CB51C9"/>
    <w:rsid w:val="00CB5EDA"/>
    <w:rsid w:val="00CB6E6E"/>
    <w:rsid w:val="00CB6E92"/>
    <w:rsid w:val="00CB7FF5"/>
    <w:rsid w:val="00CC0A73"/>
    <w:rsid w:val="00CC101E"/>
    <w:rsid w:val="00CC151B"/>
    <w:rsid w:val="00CC1D6B"/>
    <w:rsid w:val="00CC1DEF"/>
    <w:rsid w:val="00CC29C0"/>
    <w:rsid w:val="00CC2A18"/>
    <w:rsid w:val="00CC37CC"/>
    <w:rsid w:val="00CC415E"/>
    <w:rsid w:val="00CC422D"/>
    <w:rsid w:val="00CC4895"/>
    <w:rsid w:val="00CC49DE"/>
    <w:rsid w:val="00CC523D"/>
    <w:rsid w:val="00CC527B"/>
    <w:rsid w:val="00CC5A60"/>
    <w:rsid w:val="00CC61EE"/>
    <w:rsid w:val="00CC63C9"/>
    <w:rsid w:val="00CC6D70"/>
    <w:rsid w:val="00CC7843"/>
    <w:rsid w:val="00CD0352"/>
    <w:rsid w:val="00CD0856"/>
    <w:rsid w:val="00CD1101"/>
    <w:rsid w:val="00CD282B"/>
    <w:rsid w:val="00CD2B81"/>
    <w:rsid w:val="00CD36DB"/>
    <w:rsid w:val="00CD3ABC"/>
    <w:rsid w:val="00CD4661"/>
    <w:rsid w:val="00CD5578"/>
    <w:rsid w:val="00CD6C7E"/>
    <w:rsid w:val="00CE0378"/>
    <w:rsid w:val="00CE170D"/>
    <w:rsid w:val="00CE17FE"/>
    <w:rsid w:val="00CE2D0D"/>
    <w:rsid w:val="00CE2F58"/>
    <w:rsid w:val="00CE32DA"/>
    <w:rsid w:val="00CE38A4"/>
    <w:rsid w:val="00CE45FE"/>
    <w:rsid w:val="00CE4868"/>
    <w:rsid w:val="00CE6EEF"/>
    <w:rsid w:val="00CF0E75"/>
    <w:rsid w:val="00CF1C6E"/>
    <w:rsid w:val="00CF2308"/>
    <w:rsid w:val="00CF340C"/>
    <w:rsid w:val="00CF3DA6"/>
    <w:rsid w:val="00CF4122"/>
    <w:rsid w:val="00CF46CB"/>
    <w:rsid w:val="00CF4700"/>
    <w:rsid w:val="00CF4FF2"/>
    <w:rsid w:val="00CF4FF3"/>
    <w:rsid w:val="00CF512E"/>
    <w:rsid w:val="00CF5301"/>
    <w:rsid w:val="00CF632C"/>
    <w:rsid w:val="00CF73DD"/>
    <w:rsid w:val="00D00871"/>
    <w:rsid w:val="00D0310A"/>
    <w:rsid w:val="00D05806"/>
    <w:rsid w:val="00D05BC0"/>
    <w:rsid w:val="00D062E1"/>
    <w:rsid w:val="00D06461"/>
    <w:rsid w:val="00D06F4D"/>
    <w:rsid w:val="00D10CB4"/>
    <w:rsid w:val="00D111E3"/>
    <w:rsid w:val="00D11F2E"/>
    <w:rsid w:val="00D1332B"/>
    <w:rsid w:val="00D1472E"/>
    <w:rsid w:val="00D149FE"/>
    <w:rsid w:val="00D14A05"/>
    <w:rsid w:val="00D151E2"/>
    <w:rsid w:val="00D15BBD"/>
    <w:rsid w:val="00D15D76"/>
    <w:rsid w:val="00D16B79"/>
    <w:rsid w:val="00D17690"/>
    <w:rsid w:val="00D17AEF"/>
    <w:rsid w:val="00D17EE4"/>
    <w:rsid w:val="00D17FA4"/>
    <w:rsid w:val="00D20002"/>
    <w:rsid w:val="00D2097C"/>
    <w:rsid w:val="00D20B6B"/>
    <w:rsid w:val="00D20FF3"/>
    <w:rsid w:val="00D21AD0"/>
    <w:rsid w:val="00D222BB"/>
    <w:rsid w:val="00D22E2C"/>
    <w:rsid w:val="00D233B9"/>
    <w:rsid w:val="00D234FC"/>
    <w:rsid w:val="00D24050"/>
    <w:rsid w:val="00D240EA"/>
    <w:rsid w:val="00D2430C"/>
    <w:rsid w:val="00D2433F"/>
    <w:rsid w:val="00D24BAF"/>
    <w:rsid w:val="00D260B3"/>
    <w:rsid w:val="00D26EF0"/>
    <w:rsid w:val="00D329FD"/>
    <w:rsid w:val="00D3300E"/>
    <w:rsid w:val="00D3317B"/>
    <w:rsid w:val="00D33256"/>
    <w:rsid w:val="00D3389B"/>
    <w:rsid w:val="00D34E49"/>
    <w:rsid w:val="00D37E82"/>
    <w:rsid w:val="00D37EA7"/>
    <w:rsid w:val="00D40BE8"/>
    <w:rsid w:val="00D41BBE"/>
    <w:rsid w:val="00D4226D"/>
    <w:rsid w:val="00D43F22"/>
    <w:rsid w:val="00D440C1"/>
    <w:rsid w:val="00D44526"/>
    <w:rsid w:val="00D44591"/>
    <w:rsid w:val="00D4493D"/>
    <w:rsid w:val="00D45A6A"/>
    <w:rsid w:val="00D4606F"/>
    <w:rsid w:val="00D4627F"/>
    <w:rsid w:val="00D46546"/>
    <w:rsid w:val="00D4676A"/>
    <w:rsid w:val="00D46924"/>
    <w:rsid w:val="00D46B06"/>
    <w:rsid w:val="00D470FE"/>
    <w:rsid w:val="00D4774A"/>
    <w:rsid w:val="00D4785C"/>
    <w:rsid w:val="00D47ABE"/>
    <w:rsid w:val="00D47BB7"/>
    <w:rsid w:val="00D47C6E"/>
    <w:rsid w:val="00D503C7"/>
    <w:rsid w:val="00D50F90"/>
    <w:rsid w:val="00D51089"/>
    <w:rsid w:val="00D5181E"/>
    <w:rsid w:val="00D51CE2"/>
    <w:rsid w:val="00D51D1F"/>
    <w:rsid w:val="00D5358D"/>
    <w:rsid w:val="00D53CEC"/>
    <w:rsid w:val="00D5499B"/>
    <w:rsid w:val="00D54EA9"/>
    <w:rsid w:val="00D56E5B"/>
    <w:rsid w:val="00D57222"/>
    <w:rsid w:val="00D579CF"/>
    <w:rsid w:val="00D57EC1"/>
    <w:rsid w:val="00D60911"/>
    <w:rsid w:val="00D609A0"/>
    <w:rsid w:val="00D60E75"/>
    <w:rsid w:val="00D611BE"/>
    <w:rsid w:val="00D6172F"/>
    <w:rsid w:val="00D61B14"/>
    <w:rsid w:val="00D61CB1"/>
    <w:rsid w:val="00D6238A"/>
    <w:rsid w:val="00D629A3"/>
    <w:rsid w:val="00D62A7F"/>
    <w:rsid w:val="00D62CAE"/>
    <w:rsid w:val="00D633E9"/>
    <w:rsid w:val="00D63805"/>
    <w:rsid w:val="00D638FF"/>
    <w:rsid w:val="00D640B4"/>
    <w:rsid w:val="00D647E4"/>
    <w:rsid w:val="00D65229"/>
    <w:rsid w:val="00D65FB4"/>
    <w:rsid w:val="00D70865"/>
    <w:rsid w:val="00D708FE"/>
    <w:rsid w:val="00D70F1F"/>
    <w:rsid w:val="00D71DB5"/>
    <w:rsid w:val="00D72F35"/>
    <w:rsid w:val="00D73A83"/>
    <w:rsid w:val="00D73B1B"/>
    <w:rsid w:val="00D73D04"/>
    <w:rsid w:val="00D74410"/>
    <w:rsid w:val="00D74D73"/>
    <w:rsid w:val="00D74DA0"/>
    <w:rsid w:val="00D753A3"/>
    <w:rsid w:val="00D77166"/>
    <w:rsid w:val="00D775CB"/>
    <w:rsid w:val="00D8131B"/>
    <w:rsid w:val="00D81FAB"/>
    <w:rsid w:val="00D825EC"/>
    <w:rsid w:val="00D83BCC"/>
    <w:rsid w:val="00D848DC"/>
    <w:rsid w:val="00D8495C"/>
    <w:rsid w:val="00D84D2A"/>
    <w:rsid w:val="00D852A8"/>
    <w:rsid w:val="00D85686"/>
    <w:rsid w:val="00D85F40"/>
    <w:rsid w:val="00D8689C"/>
    <w:rsid w:val="00D87751"/>
    <w:rsid w:val="00D90D21"/>
    <w:rsid w:val="00D912B2"/>
    <w:rsid w:val="00D915D9"/>
    <w:rsid w:val="00D917A0"/>
    <w:rsid w:val="00D91E61"/>
    <w:rsid w:val="00D92051"/>
    <w:rsid w:val="00D92081"/>
    <w:rsid w:val="00D92753"/>
    <w:rsid w:val="00D937A0"/>
    <w:rsid w:val="00D94216"/>
    <w:rsid w:val="00D9426D"/>
    <w:rsid w:val="00D946F9"/>
    <w:rsid w:val="00D951B2"/>
    <w:rsid w:val="00D95A8A"/>
    <w:rsid w:val="00D961FD"/>
    <w:rsid w:val="00D9659B"/>
    <w:rsid w:val="00D96A32"/>
    <w:rsid w:val="00D9701C"/>
    <w:rsid w:val="00D9746A"/>
    <w:rsid w:val="00D974D6"/>
    <w:rsid w:val="00DA076F"/>
    <w:rsid w:val="00DA1272"/>
    <w:rsid w:val="00DA1CF8"/>
    <w:rsid w:val="00DA1D3A"/>
    <w:rsid w:val="00DA2DDF"/>
    <w:rsid w:val="00DA32FE"/>
    <w:rsid w:val="00DA465E"/>
    <w:rsid w:val="00DA486E"/>
    <w:rsid w:val="00DA4D3B"/>
    <w:rsid w:val="00DA5561"/>
    <w:rsid w:val="00DA6800"/>
    <w:rsid w:val="00DA6828"/>
    <w:rsid w:val="00DA6CBA"/>
    <w:rsid w:val="00DA7BC2"/>
    <w:rsid w:val="00DB1860"/>
    <w:rsid w:val="00DB20E4"/>
    <w:rsid w:val="00DB22A4"/>
    <w:rsid w:val="00DB2999"/>
    <w:rsid w:val="00DB334D"/>
    <w:rsid w:val="00DB484C"/>
    <w:rsid w:val="00DB4D7C"/>
    <w:rsid w:val="00DB515A"/>
    <w:rsid w:val="00DB5247"/>
    <w:rsid w:val="00DB5270"/>
    <w:rsid w:val="00DB5622"/>
    <w:rsid w:val="00DB5B17"/>
    <w:rsid w:val="00DB5E2B"/>
    <w:rsid w:val="00DB656B"/>
    <w:rsid w:val="00DB6D2C"/>
    <w:rsid w:val="00DB6E64"/>
    <w:rsid w:val="00DB7C9A"/>
    <w:rsid w:val="00DB7CB4"/>
    <w:rsid w:val="00DB7CD5"/>
    <w:rsid w:val="00DC0DC9"/>
    <w:rsid w:val="00DC1E03"/>
    <w:rsid w:val="00DC1F0D"/>
    <w:rsid w:val="00DC4C60"/>
    <w:rsid w:val="00DC4D27"/>
    <w:rsid w:val="00DC5422"/>
    <w:rsid w:val="00DC5958"/>
    <w:rsid w:val="00DC5BB9"/>
    <w:rsid w:val="00DC5E88"/>
    <w:rsid w:val="00DC689F"/>
    <w:rsid w:val="00DC6B9A"/>
    <w:rsid w:val="00DC70BC"/>
    <w:rsid w:val="00DC7602"/>
    <w:rsid w:val="00DC7F37"/>
    <w:rsid w:val="00DD0AC1"/>
    <w:rsid w:val="00DD0E42"/>
    <w:rsid w:val="00DD1131"/>
    <w:rsid w:val="00DD1BB0"/>
    <w:rsid w:val="00DD1C8A"/>
    <w:rsid w:val="00DD2DA4"/>
    <w:rsid w:val="00DD2F76"/>
    <w:rsid w:val="00DD4F29"/>
    <w:rsid w:val="00DD71FA"/>
    <w:rsid w:val="00DD7642"/>
    <w:rsid w:val="00DD7905"/>
    <w:rsid w:val="00DE01C1"/>
    <w:rsid w:val="00DE0C47"/>
    <w:rsid w:val="00DE12A4"/>
    <w:rsid w:val="00DE2458"/>
    <w:rsid w:val="00DE26D1"/>
    <w:rsid w:val="00DE27A5"/>
    <w:rsid w:val="00DE2DB9"/>
    <w:rsid w:val="00DE34E0"/>
    <w:rsid w:val="00DE3D46"/>
    <w:rsid w:val="00DE41C7"/>
    <w:rsid w:val="00DE438C"/>
    <w:rsid w:val="00DE4904"/>
    <w:rsid w:val="00DE512C"/>
    <w:rsid w:val="00DE5835"/>
    <w:rsid w:val="00DE632E"/>
    <w:rsid w:val="00DE6ABA"/>
    <w:rsid w:val="00DE6BFB"/>
    <w:rsid w:val="00DE6E9F"/>
    <w:rsid w:val="00DE7D0B"/>
    <w:rsid w:val="00DF009E"/>
    <w:rsid w:val="00DF06C0"/>
    <w:rsid w:val="00DF07E5"/>
    <w:rsid w:val="00DF0817"/>
    <w:rsid w:val="00DF112C"/>
    <w:rsid w:val="00DF1ACF"/>
    <w:rsid w:val="00DF1D59"/>
    <w:rsid w:val="00DF2245"/>
    <w:rsid w:val="00DF29F3"/>
    <w:rsid w:val="00DF43DB"/>
    <w:rsid w:val="00DF447F"/>
    <w:rsid w:val="00DF4578"/>
    <w:rsid w:val="00DF4D68"/>
    <w:rsid w:val="00DF52AE"/>
    <w:rsid w:val="00DF587E"/>
    <w:rsid w:val="00DF68D8"/>
    <w:rsid w:val="00DF72C3"/>
    <w:rsid w:val="00DF7648"/>
    <w:rsid w:val="00DF7C13"/>
    <w:rsid w:val="00E0138C"/>
    <w:rsid w:val="00E01AB6"/>
    <w:rsid w:val="00E01D22"/>
    <w:rsid w:val="00E02E9F"/>
    <w:rsid w:val="00E030A7"/>
    <w:rsid w:val="00E030C9"/>
    <w:rsid w:val="00E033C7"/>
    <w:rsid w:val="00E03840"/>
    <w:rsid w:val="00E0504F"/>
    <w:rsid w:val="00E05D33"/>
    <w:rsid w:val="00E05E5E"/>
    <w:rsid w:val="00E06353"/>
    <w:rsid w:val="00E068CA"/>
    <w:rsid w:val="00E07265"/>
    <w:rsid w:val="00E072DA"/>
    <w:rsid w:val="00E07528"/>
    <w:rsid w:val="00E07CF3"/>
    <w:rsid w:val="00E10934"/>
    <w:rsid w:val="00E116DA"/>
    <w:rsid w:val="00E1170E"/>
    <w:rsid w:val="00E11D75"/>
    <w:rsid w:val="00E130A0"/>
    <w:rsid w:val="00E1427F"/>
    <w:rsid w:val="00E167AA"/>
    <w:rsid w:val="00E16801"/>
    <w:rsid w:val="00E168F0"/>
    <w:rsid w:val="00E17222"/>
    <w:rsid w:val="00E173F3"/>
    <w:rsid w:val="00E17427"/>
    <w:rsid w:val="00E178FA"/>
    <w:rsid w:val="00E20468"/>
    <w:rsid w:val="00E21B7E"/>
    <w:rsid w:val="00E21E3E"/>
    <w:rsid w:val="00E21EAF"/>
    <w:rsid w:val="00E22BDA"/>
    <w:rsid w:val="00E22BDF"/>
    <w:rsid w:val="00E22F7D"/>
    <w:rsid w:val="00E2410C"/>
    <w:rsid w:val="00E2411C"/>
    <w:rsid w:val="00E242F4"/>
    <w:rsid w:val="00E250D3"/>
    <w:rsid w:val="00E262A3"/>
    <w:rsid w:val="00E26A3F"/>
    <w:rsid w:val="00E26F9D"/>
    <w:rsid w:val="00E27AB1"/>
    <w:rsid w:val="00E27B0A"/>
    <w:rsid w:val="00E305F1"/>
    <w:rsid w:val="00E31E1B"/>
    <w:rsid w:val="00E31F6C"/>
    <w:rsid w:val="00E320B1"/>
    <w:rsid w:val="00E3225A"/>
    <w:rsid w:val="00E33130"/>
    <w:rsid w:val="00E33F89"/>
    <w:rsid w:val="00E34EDE"/>
    <w:rsid w:val="00E35613"/>
    <w:rsid w:val="00E35769"/>
    <w:rsid w:val="00E357EA"/>
    <w:rsid w:val="00E35CA0"/>
    <w:rsid w:val="00E36034"/>
    <w:rsid w:val="00E364A8"/>
    <w:rsid w:val="00E36FAF"/>
    <w:rsid w:val="00E371E3"/>
    <w:rsid w:val="00E3738B"/>
    <w:rsid w:val="00E376FF"/>
    <w:rsid w:val="00E37753"/>
    <w:rsid w:val="00E37E97"/>
    <w:rsid w:val="00E37F5D"/>
    <w:rsid w:val="00E40A7A"/>
    <w:rsid w:val="00E40AB4"/>
    <w:rsid w:val="00E40AF8"/>
    <w:rsid w:val="00E414C6"/>
    <w:rsid w:val="00E419D7"/>
    <w:rsid w:val="00E42B55"/>
    <w:rsid w:val="00E44648"/>
    <w:rsid w:val="00E44798"/>
    <w:rsid w:val="00E45415"/>
    <w:rsid w:val="00E455BA"/>
    <w:rsid w:val="00E46394"/>
    <w:rsid w:val="00E473EF"/>
    <w:rsid w:val="00E47E78"/>
    <w:rsid w:val="00E50F99"/>
    <w:rsid w:val="00E51365"/>
    <w:rsid w:val="00E52061"/>
    <w:rsid w:val="00E53516"/>
    <w:rsid w:val="00E536E7"/>
    <w:rsid w:val="00E53C37"/>
    <w:rsid w:val="00E53E68"/>
    <w:rsid w:val="00E5426F"/>
    <w:rsid w:val="00E54AE3"/>
    <w:rsid w:val="00E553BC"/>
    <w:rsid w:val="00E558A5"/>
    <w:rsid w:val="00E55B58"/>
    <w:rsid w:val="00E564A9"/>
    <w:rsid w:val="00E56854"/>
    <w:rsid w:val="00E56C47"/>
    <w:rsid w:val="00E56D25"/>
    <w:rsid w:val="00E5739B"/>
    <w:rsid w:val="00E57A69"/>
    <w:rsid w:val="00E57B4C"/>
    <w:rsid w:val="00E57C8F"/>
    <w:rsid w:val="00E57F35"/>
    <w:rsid w:val="00E617C3"/>
    <w:rsid w:val="00E61AF7"/>
    <w:rsid w:val="00E628D4"/>
    <w:rsid w:val="00E62AAC"/>
    <w:rsid w:val="00E63603"/>
    <w:rsid w:val="00E6403C"/>
    <w:rsid w:val="00E64A78"/>
    <w:rsid w:val="00E64FE9"/>
    <w:rsid w:val="00E65915"/>
    <w:rsid w:val="00E67205"/>
    <w:rsid w:val="00E67E15"/>
    <w:rsid w:val="00E67FB9"/>
    <w:rsid w:val="00E70076"/>
    <w:rsid w:val="00E700B1"/>
    <w:rsid w:val="00E70ABC"/>
    <w:rsid w:val="00E71650"/>
    <w:rsid w:val="00E7188F"/>
    <w:rsid w:val="00E71D8A"/>
    <w:rsid w:val="00E734C4"/>
    <w:rsid w:val="00E73A2B"/>
    <w:rsid w:val="00E73C18"/>
    <w:rsid w:val="00E73D4B"/>
    <w:rsid w:val="00E73EBC"/>
    <w:rsid w:val="00E75CAA"/>
    <w:rsid w:val="00E75EB3"/>
    <w:rsid w:val="00E769E0"/>
    <w:rsid w:val="00E772C8"/>
    <w:rsid w:val="00E77745"/>
    <w:rsid w:val="00E8070B"/>
    <w:rsid w:val="00E80E55"/>
    <w:rsid w:val="00E80F75"/>
    <w:rsid w:val="00E81AB7"/>
    <w:rsid w:val="00E84A14"/>
    <w:rsid w:val="00E84D31"/>
    <w:rsid w:val="00E8580F"/>
    <w:rsid w:val="00E85984"/>
    <w:rsid w:val="00E86CFF"/>
    <w:rsid w:val="00E879AD"/>
    <w:rsid w:val="00E87F97"/>
    <w:rsid w:val="00E90D11"/>
    <w:rsid w:val="00E9251D"/>
    <w:rsid w:val="00E92939"/>
    <w:rsid w:val="00E92AFE"/>
    <w:rsid w:val="00E9312E"/>
    <w:rsid w:val="00E94D2D"/>
    <w:rsid w:val="00E953DB"/>
    <w:rsid w:val="00E95657"/>
    <w:rsid w:val="00E958E5"/>
    <w:rsid w:val="00E95D07"/>
    <w:rsid w:val="00E9684B"/>
    <w:rsid w:val="00E971C0"/>
    <w:rsid w:val="00E9741C"/>
    <w:rsid w:val="00E97C57"/>
    <w:rsid w:val="00EA1C1F"/>
    <w:rsid w:val="00EA2443"/>
    <w:rsid w:val="00EA24B9"/>
    <w:rsid w:val="00EA2907"/>
    <w:rsid w:val="00EA2C12"/>
    <w:rsid w:val="00EA2DA5"/>
    <w:rsid w:val="00EA3CB7"/>
    <w:rsid w:val="00EA3D90"/>
    <w:rsid w:val="00EA4C34"/>
    <w:rsid w:val="00EA5862"/>
    <w:rsid w:val="00EA5908"/>
    <w:rsid w:val="00EA61C0"/>
    <w:rsid w:val="00EA6259"/>
    <w:rsid w:val="00EA64B0"/>
    <w:rsid w:val="00EA6EB4"/>
    <w:rsid w:val="00EA7144"/>
    <w:rsid w:val="00EB004C"/>
    <w:rsid w:val="00EB058F"/>
    <w:rsid w:val="00EB05AF"/>
    <w:rsid w:val="00EB09C2"/>
    <w:rsid w:val="00EB0AF9"/>
    <w:rsid w:val="00EB1278"/>
    <w:rsid w:val="00EB13F3"/>
    <w:rsid w:val="00EB247F"/>
    <w:rsid w:val="00EB34FF"/>
    <w:rsid w:val="00EB3635"/>
    <w:rsid w:val="00EB4B96"/>
    <w:rsid w:val="00EB5023"/>
    <w:rsid w:val="00EB5CA2"/>
    <w:rsid w:val="00EB5D67"/>
    <w:rsid w:val="00EB5EA7"/>
    <w:rsid w:val="00EB6406"/>
    <w:rsid w:val="00EB6B5C"/>
    <w:rsid w:val="00EB72D1"/>
    <w:rsid w:val="00EC06FD"/>
    <w:rsid w:val="00EC0CC1"/>
    <w:rsid w:val="00EC1032"/>
    <w:rsid w:val="00EC1448"/>
    <w:rsid w:val="00EC1B41"/>
    <w:rsid w:val="00EC294A"/>
    <w:rsid w:val="00EC2C1D"/>
    <w:rsid w:val="00EC2C4C"/>
    <w:rsid w:val="00EC2D77"/>
    <w:rsid w:val="00EC2ED8"/>
    <w:rsid w:val="00EC37CC"/>
    <w:rsid w:val="00EC3A2D"/>
    <w:rsid w:val="00EC3B19"/>
    <w:rsid w:val="00EC4CC8"/>
    <w:rsid w:val="00EC4D8E"/>
    <w:rsid w:val="00EC5AC0"/>
    <w:rsid w:val="00EC5F5F"/>
    <w:rsid w:val="00EC6B99"/>
    <w:rsid w:val="00EC7DB9"/>
    <w:rsid w:val="00ED0DB0"/>
    <w:rsid w:val="00ED1835"/>
    <w:rsid w:val="00ED3394"/>
    <w:rsid w:val="00ED3462"/>
    <w:rsid w:val="00ED4165"/>
    <w:rsid w:val="00ED4462"/>
    <w:rsid w:val="00ED46F1"/>
    <w:rsid w:val="00ED5149"/>
    <w:rsid w:val="00ED5C63"/>
    <w:rsid w:val="00ED72A0"/>
    <w:rsid w:val="00ED7704"/>
    <w:rsid w:val="00ED798F"/>
    <w:rsid w:val="00ED7B3A"/>
    <w:rsid w:val="00EE00D5"/>
    <w:rsid w:val="00EE0576"/>
    <w:rsid w:val="00EE0E54"/>
    <w:rsid w:val="00EE12CD"/>
    <w:rsid w:val="00EE2B9D"/>
    <w:rsid w:val="00EE2E6B"/>
    <w:rsid w:val="00EE3A46"/>
    <w:rsid w:val="00EE3E26"/>
    <w:rsid w:val="00EE4067"/>
    <w:rsid w:val="00EE45B8"/>
    <w:rsid w:val="00EE4E80"/>
    <w:rsid w:val="00EE519D"/>
    <w:rsid w:val="00EE5C25"/>
    <w:rsid w:val="00EE5D35"/>
    <w:rsid w:val="00EE7634"/>
    <w:rsid w:val="00EE7A46"/>
    <w:rsid w:val="00EF0CA0"/>
    <w:rsid w:val="00EF2225"/>
    <w:rsid w:val="00EF2EB4"/>
    <w:rsid w:val="00EF30CD"/>
    <w:rsid w:val="00EF3710"/>
    <w:rsid w:val="00EF4912"/>
    <w:rsid w:val="00EF562A"/>
    <w:rsid w:val="00EF5959"/>
    <w:rsid w:val="00EF6429"/>
    <w:rsid w:val="00EF67AC"/>
    <w:rsid w:val="00EF7271"/>
    <w:rsid w:val="00EF757F"/>
    <w:rsid w:val="00F0022C"/>
    <w:rsid w:val="00F00457"/>
    <w:rsid w:val="00F0096D"/>
    <w:rsid w:val="00F01ACF"/>
    <w:rsid w:val="00F01BDB"/>
    <w:rsid w:val="00F01C64"/>
    <w:rsid w:val="00F030CE"/>
    <w:rsid w:val="00F030EA"/>
    <w:rsid w:val="00F0376A"/>
    <w:rsid w:val="00F03BBD"/>
    <w:rsid w:val="00F0411E"/>
    <w:rsid w:val="00F0521E"/>
    <w:rsid w:val="00F05C84"/>
    <w:rsid w:val="00F069CB"/>
    <w:rsid w:val="00F07A37"/>
    <w:rsid w:val="00F109D9"/>
    <w:rsid w:val="00F11108"/>
    <w:rsid w:val="00F11132"/>
    <w:rsid w:val="00F124E7"/>
    <w:rsid w:val="00F12B39"/>
    <w:rsid w:val="00F12FD0"/>
    <w:rsid w:val="00F13060"/>
    <w:rsid w:val="00F14E49"/>
    <w:rsid w:val="00F1545D"/>
    <w:rsid w:val="00F16511"/>
    <w:rsid w:val="00F1654B"/>
    <w:rsid w:val="00F1693F"/>
    <w:rsid w:val="00F16B08"/>
    <w:rsid w:val="00F16E2E"/>
    <w:rsid w:val="00F17092"/>
    <w:rsid w:val="00F179A0"/>
    <w:rsid w:val="00F21152"/>
    <w:rsid w:val="00F22A91"/>
    <w:rsid w:val="00F233FC"/>
    <w:rsid w:val="00F234B3"/>
    <w:rsid w:val="00F23868"/>
    <w:rsid w:val="00F23AC6"/>
    <w:rsid w:val="00F24901"/>
    <w:rsid w:val="00F250FF"/>
    <w:rsid w:val="00F2537D"/>
    <w:rsid w:val="00F258AE"/>
    <w:rsid w:val="00F26309"/>
    <w:rsid w:val="00F26C43"/>
    <w:rsid w:val="00F273FB"/>
    <w:rsid w:val="00F27D08"/>
    <w:rsid w:val="00F27FD3"/>
    <w:rsid w:val="00F301E7"/>
    <w:rsid w:val="00F30C10"/>
    <w:rsid w:val="00F31604"/>
    <w:rsid w:val="00F31E4B"/>
    <w:rsid w:val="00F321AF"/>
    <w:rsid w:val="00F32AAB"/>
    <w:rsid w:val="00F333C1"/>
    <w:rsid w:val="00F34679"/>
    <w:rsid w:val="00F34A38"/>
    <w:rsid w:val="00F35080"/>
    <w:rsid w:val="00F362B5"/>
    <w:rsid w:val="00F3754B"/>
    <w:rsid w:val="00F37B9B"/>
    <w:rsid w:val="00F37DDF"/>
    <w:rsid w:val="00F37E23"/>
    <w:rsid w:val="00F37E7F"/>
    <w:rsid w:val="00F40036"/>
    <w:rsid w:val="00F40042"/>
    <w:rsid w:val="00F412A9"/>
    <w:rsid w:val="00F41596"/>
    <w:rsid w:val="00F4232E"/>
    <w:rsid w:val="00F4361E"/>
    <w:rsid w:val="00F43EC1"/>
    <w:rsid w:val="00F43F60"/>
    <w:rsid w:val="00F447CE"/>
    <w:rsid w:val="00F452E9"/>
    <w:rsid w:val="00F45D1A"/>
    <w:rsid w:val="00F45F8D"/>
    <w:rsid w:val="00F46F51"/>
    <w:rsid w:val="00F47381"/>
    <w:rsid w:val="00F500D6"/>
    <w:rsid w:val="00F5111E"/>
    <w:rsid w:val="00F517FC"/>
    <w:rsid w:val="00F51B7C"/>
    <w:rsid w:val="00F52246"/>
    <w:rsid w:val="00F52AA3"/>
    <w:rsid w:val="00F53699"/>
    <w:rsid w:val="00F53FB9"/>
    <w:rsid w:val="00F54522"/>
    <w:rsid w:val="00F546AC"/>
    <w:rsid w:val="00F55469"/>
    <w:rsid w:val="00F55739"/>
    <w:rsid w:val="00F5604E"/>
    <w:rsid w:val="00F5609F"/>
    <w:rsid w:val="00F56FD4"/>
    <w:rsid w:val="00F575A0"/>
    <w:rsid w:val="00F575DB"/>
    <w:rsid w:val="00F575F2"/>
    <w:rsid w:val="00F57ACF"/>
    <w:rsid w:val="00F57FEE"/>
    <w:rsid w:val="00F60577"/>
    <w:rsid w:val="00F60774"/>
    <w:rsid w:val="00F6353A"/>
    <w:rsid w:val="00F640F6"/>
    <w:rsid w:val="00F6433E"/>
    <w:rsid w:val="00F64604"/>
    <w:rsid w:val="00F6486F"/>
    <w:rsid w:val="00F648D3"/>
    <w:rsid w:val="00F65EBE"/>
    <w:rsid w:val="00F66917"/>
    <w:rsid w:val="00F66B33"/>
    <w:rsid w:val="00F6728B"/>
    <w:rsid w:val="00F67DF1"/>
    <w:rsid w:val="00F70049"/>
    <w:rsid w:val="00F71183"/>
    <w:rsid w:val="00F72623"/>
    <w:rsid w:val="00F72729"/>
    <w:rsid w:val="00F72799"/>
    <w:rsid w:val="00F7283A"/>
    <w:rsid w:val="00F73320"/>
    <w:rsid w:val="00F74C27"/>
    <w:rsid w:val="00F74FC4"/>
    <w:rsid w:val="00F75196"/>
    <w:rsid w:val="00F7539C"/>
    <w:rsid w:val="00F75491"/>
    <w:rsid w:val="00F759F8"/>
    <w:rsid w:val="00F760F3"/>
    <w:rsid w:val="00F76354"/>
    <w:rsid w:val="00F7647C"/>
    <w:rsid w:val="00F76964"/>
    <w:rsid w:val="00F76E10"/>
    <w:rsid w:val="00F77402"/>
    <w:rsid w:val="00F80BB5"/>
    <w:rsid w:val="00F80BC8"/>
    <w:rsid w:val="00F820E4"/>
    <w:rsid w:val="00F824EE"/>
    <w:rsid w:val="00F827F6"/>
    <w:rsid w:val="00F832B9"/>
    <w:rsid w:val="00F85045"/>
    <w:rsid w:val="00F8541A"/>
    <w:rsid w:val="00F85793"/>
    <w:rsid w:val="00F861E0"/>
    <w:rsid w:val="00F86AA9"/>
    <w:rsid w:val="00F86B78"/>
    <w:rsid w:val="00F87380"/>
    <w:rsid w:val="00F87719"/>
    <w:rsid w:val="00F87A11"/>
    <w:rsid w:val="00F905C1"/>
    <w:rsid w:val="00F90951"/>
    <w:rsid w:val="00F90AD5"/>
    <w:rsid w:val="00F91675"/>
    <w:rsid w:val="00F92090"/>
    <w:rsid w:val="00F92B0A"/>
    <w:rsid w:val="00F92FF1"/>
    <w:rsid w:val="00F9354B"/>
    <w:rsid w:val="00F93A7E"/>
    <w:rsid w:val="00F93FE4"/>
    <w:rsid w:val="00F941B5"/>
    <w:rsid w:val="00F9461E"/>
    <w:rsid w:val="00F94892"/>
    <w:rsid w:val="00F9513F"/>
    <w:rsid w:val="00F9525D"/>
    <w:rsid w:val="00F9530F"/>
    <w:rsid w:val="00F9643D"/>
    <w:rsid w:val="00F96744"/>
    <w:rsid w:val="00F968CB"/>
    <w:rsid w:val="00F96A3C"/>
    <w:rsid w:val="00F96B6A"/>
    <w:rsid w:val="00F96EBA"/>
    <w:rsid w:val="00F97A23"/>
    <w:rsid w:val="00F97DAD"/>
    <w:rsid w:val="00FA0690"/>
    <w:rsid w:val="00FA090A"/>
    <w:rsid w:val="00FA0DF8"/>
    <w:rsid w:val="00FA0F89"/>
    <w:rsid w:val="00FA1523"/>
    <w:rsid w:val="00FA2411"/>
    <w:rsid w:val="00FA24D3"/>
    <w:rsid w:val="00FA2583"/>
    <w:rsid w:val="00FA3D0D"/>
    <w:rsid w:val="00FA5369"/>
    <w:rsid w:val="00FA5441"/>
    <w:rsid w:val="00FA55AD"/>
    <w:rsid w:val="00FA5982"/>
    <w:rsid w:val="00FA5F9E"/>
    <w:rsid w:val="00FA6A0F"/>
    <w:rsid w:val="00FA6BB5"/>
    <w:rsid w:val="00FB00F2"/>
    <w:rsid w:val="00FB041F"/>
    <w:rsid w:val="00FB0429"/>
    <w:rsid w:val="00FB06DC"/>
    <w:rsid w:val="00FB0BA7"/>
    <w:rsid w:val="00FB15B1"/>
    <w:rsid w:val="00FB19CD"/>
    <w:rsid w:val="00FB1A3F"/>
    <w:rsid w:val="00FB2CB1"/>
    <w:rsid w:val="00FB462E"/>
    <w:rsid w:val="00FB50A3"/>
    <w:rsid w:val="00FB52BE"/>
    <w:rsid w:val="00FB52E1"/>
    <w:rsid w:val="00FB569E"/>
    <w:rsid w:val="00FB5FC0"/>
    <w:rsid w:val="00FB76DD"/>
    <w:rsid w:val="00FB7801"/>
    <w:rsid w:val="00FB78B8"/>
    <w:rsid w:val="00FC10C3"/>
    <w:rsid w:val="00FC11DF"/>
    <w:rsid w:val="00FC1B83"/>
    <w:rsid w:val="00FC3606"/>
    <w:rsid w:val="00FC38E2"/>
    <w:rsid w:val="00FC3A2E"/>
    <w:rsid w:val="00FC3C64"/>
    <w:rsid w:val="00FC4A99"/>
    <w:rsid w:val="00FC4D74"/>
    <w:rsid w:val="00FC544E"/>
    <w:rsid w:val="00FC5A4F"/>
    <w:rsid w:val="00FC5E42"/>
    <w:rsid w:val="00FC603C"/>
    <w:rsid w:val="00FC6C8C"/>
    <w:rsid w:val="00FC6CA8"/>
    <w:rsid w:val="00FD0076"/>
    <w:rsid w:val="00FD0663"/>
    <w:rsid w:val="00FD0930"/>
    <w:rsid w:val="00FD09EF"/>
    <w:rsid w:val="00FD12BA"/>
    <w:rsid w:val="00FD1384"/>
    <w:rsid w:val="00FD13B9"/>
    <w:rsid w:val="00FD21F9"/>
    <w:rsid w:val="00FD2DC7"/>
    <w:rsid w:val="00FD310B"/>
    <w:rsid w:val="00FD3A99"/>
    <w:rsid w:val="00FD3B20"/>
    <w:rsid w:val="00FD449D"/>
    <w:rsid w:val="00FD4FAF"/>
    <w:rsid w:val="00FD5A70"/>
    <w:rsid w:val="00FD5C49"/>
    <w:rsid w:val="00FD60B8"/>
    <w:rsid w:val="00FD6638"/>
    <w:rsid w:val="00FD6C19"/>
    <w:rsid w:val="00FD6D1E"/>
    <w:rsid w:val="00FD74DD"/>
    <w:rsid w:val="00FD7775"/>
    <w:rsid w:val="00FD7781"/>
    <w:rsid w:val="00FE0BA7"/>
    <w:rsid w:val="00FE0C62"/>
    <w:rsid w:val="00FE101D"/>
    <w:rsid w:val="00FE1083"/>
    <w:rsid w:val="00FE13DA"/>
    <w:rsid w:val="00FE1F24"/>
    <w:rsid w:val="00FE2BD6"/>
    <w:rsid w:val="00FE3788"/>
    <w:rsid w:val="00FE40C8"/>
    <w:rsid w:val="00FE44F8"/>
    <w:rsid w:val="00FE5238"/>
    <w:rsid w:val="00FE61F5"/>
    <w:rsid w:val="00FE68A0"/>
    <w:rsid w:val="00FE798D"/>
    <w:rsid w:val="00FE7E69"/>
    <w:rsid w:val="00FF0D9B"/>
    <w:rsid w:val="00FF21B3"/>
    <w:rsid w:val="00FF28B4"/>
    <w:rsid w:val="00FF3D32"/>
    <w:rsid w:val="00FF4140"/>
    <w:rsid w:val="00FF461E"/>
    <w:rsid w:val="00FF568F"/>
    <w:rsid w:val="00FF75BB"/>
    <w:rsid w:val="00FF75CC"/>
    <w:rsid w:val="00FF7E6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3CC9F"/>
  <w15:docId w15:val="{31485504-9683-416C-A738-6FD41D83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AF"/>
    <w:rPr>
      <w:sz w:val="24"/>
      <w:szCs w:val="24"/>
    </w:rPr>
  </w:style>
  <w:style w:type="paragraph" w:styleId="Heading1">
    <w:name w:val="heading 1"/>
    <w:basedOn w:val="Normal"/>
    <w:next w:val="Normal"/>
    <w:link w:val="Heading1Char"/>
    <w:uiPriority w:val="9"/>
    <w:qFormat/>
    <w:rsid w:val="00F55739"/>
    <w:pPr>
      <w:spacing w:line="480" w:lineRule="auto"/>
      <w:jc w:val="center"/>
      <w:outlineLvl w:val="0"/>
    </w:pPr>
    <w:rPr>
      <w:i/>
      <w:iCs/>
      <w:lang w:val="en-US"/>
    </w:rPr>
  </w:style>
  <w:style w:type="paragraph" w:styleId="Heading2">
    <w:name w:val="heading 2"/>
    <w:basedOn w:val="Normal"/>
    <w:next w:val="Normal"/>
    <w:link w:val="Heading2Char"/>
    <w:uiPriority w:val="9"/>
    <w:unhideWhenUsed/>
    <w:qFormat/>
    <w:rsid w:val="00F55739"/>
    <w:pPr>
      <w:keepNext/>
      <w:spacing w:line="480" w:lineRule="auto"/>
      <w:outlineLvl w:val="1"/>
    </w:pPr>
    <w:rPr>
      <w:rFonts w:asciiTheme="majorHAnsi" w:eastAsiaTheme="majorEastAsia" w:hAnsiTheme="majorHAnsi" w:cstheme="majorBidi"/>
      <w:i/>
      <w:iCs/>
      <w:lang w:val="en-US"/>
    </w:rPr>
  </w:style>
  <w:style w:type="paragraph" w:styleId="Heading3">
    <w:name w:val="heading 3"/>
    <w:basedOn w:val="Normal"/>
    <w:next w:val="Normal"/>
    <w:link w:val="Heading3Char"/>
    <w:uiPriority w:val="9"/>
    <w:unhideWhenUsed/>
    <w:qFormat/>
    <w:rsid w:val="00E21E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21EA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21EA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21EA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21EA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21EAF"/>
    <w:pPr>
      <w:spacing w:before="240" w:after="60"/>
      <w:outlineLvl w:val="7"/>
    </w:pPr>
    <w:rPr>
      <w:i/>
      <w:iCs/>
    </w:rPr>
  </w:style>
  <w:style w:type="paragraph" w:styleId="Heading9">
    <w:name w:val="heading 9"/>
    <w:basedOn w:val="Normal"/>
    <w:next w:val="Normal"/>
    <w:link w:val="Heading9Char"/>
    <w:uiPriority w:val="9"/>
    <w:semiHidden/>
    <w:unhideWhenUsed/>
    <w:qFormat/>
    <w:rsid w:val="00E21EA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EAF"/>
    <w:pPr>
      <w:spacing w:before="240" w:after="60"/>
      <w:jc w:val="center"/>
      <w:outlineLvl w:val="0"/>
    </w:pPr>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21EAF"/>
    <w:pPr>
      <w:spacing w:after="60"/>
      <w:jc w:val="center"/>
      <w:outlineLvl w:val="1"/>
    </w:pPr>
    <w:rPr>
      <w:rFonts w:asciiTheme="majorHAnsi" w:eastAsiaTheme="majorEastAsia" w:hAnsiTheme="majorHAnsi"/>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2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3"/>
    <w:rPr>
      <w:rFonts w:ascii="Segoe UI" w:hAnsi="Segoe UI" w:cs="Segoe UI"/>
      <w:sz w:val="18"/>
      <w:szCs w:val="18"/>
    </w:rPr>
  </w:style>
  <w:style w:type="paragraph" w:styleId="Bibliography">
    <w:name w:val="Bibliography"/>
    <w:basedOn w:val="Normal"/>
    <w:next w:val="Normal"/>
    <w:uiPriority w:val="37"/>
    <w:unhideWhenUsed/>
    <w:rsid w:val="00C91456"/>
    <w:pPr>
      <w:ind w:left="720" w:hanging="720"/>
    </w:pPr>
  </w:style>
  <w:style w:type="character" w:customStyle="1" w:styleId="Heading1Char">
    <w:name w:val="Heading 1 Char"/>
    <w:basedOn w:val="DefaultParagraphFont"/>
    <w:link w:val="Heading1"/>
    <w:uiPriority w:val="9"/>
    <w:rsid w:val="00F55739"/>
    <w:rPr>
      <w:i/>
      <w:iCs/>
      <w:sz w:val="24"/>
      <w:szCs w:val="24"/>
      <w:lang w:val="en-US"/>
    </w:rPr>
  </w:style>
  <w:style w:type="character" w:customStyle="1" w:styleId="Heading2Char">
    <w:name w:val="Heading 2 Char"/>
    <w:basedOn w:val="DefaultParagraphFont"/>
    <w:link w:val="Heading2"/>
    <w:uiPriority w:val="9"/>
    <w:rsid w:val="00F55739"/>
    <w:rPr>
      <w:rFonts w:asciiTheme="majorHAnsi" w:eastAsiaTheme="majorEastAsia" w:hAnsiTheme="majorHAnsi" w:cstheme="majorBidi"/>
      <w:i/>
      <w:iCs/>
      <w:sz w:val="24"/>
      <w:szCs w:val="24"/>
      <w:lang w:val="en-US"/>
    </w:rPr>
  </w:style>
  <w:style w:type="character" w:customStyle="1" w:styleId="Heading3Char">
    <w:name w:val="Heading 3 Char"/>
    <w:basedOn w:val="DefaultParagraphFont"/>
    <w:link w:val="Heading3"/>
    <w:uiPriority w:val="9"/>
    <w:rsid w:val="00E21EA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1EAF"/>
    <w:rPr>
      <w:b/>
      <w:bCs/>
      <w:sz w:val="28"/>
      <w:szCs w:val="28"/>
    </w:rPr>
  </w:style>
  <w:style w:type="character" w:customStyle="1" w:styleId="Heading5Char">
    <w:name w:val="Heading 5 Char"/>
    <w:basedOn w:val="DefaultParagraphFont"/>
    <w:link w:val="Heading5"/>
    <w:uiPriority w:val="9"/>
    <w:semiHidden/>
    <w:rsid w:val="00E21EAF"/>
    <w:rPr>
      <w:b/>
      <w:bCs/>
      <w:i/>
      <w:iCs/>
      <w:sz w:val="26"/>
      <w:szCs w:val="26"/>
    </w:rPr>
  </w:style>
  <w:style w:type="character" w:customStyle="1" w:styleId="Heading6Char">
    <w:name w:val="Heading 6 Char"/>
    <w:basedOn w:val="DefaultParagraphFont"/>
    <w:link w:val="Heading6"/>
    <w:uiPriority w:val="9"/>
    <w:semiHidden/>
    <w:rsid w:val="00E21EAF"/>
    <w:rPr>
      <w:b/>
      <w:bCs/>
    </w:rPr>
  </w:style>
  <w:style w:type="character" w:customStyle="1" w:styleId="Heading7Char">
    <w:name w:val="Heading 7 Char"/>
    <w:basedOn w:val="DefaultParagraphFont"/>
    <w:link w:val="Heading7"/>
    <w:uiPriority w:val="9"/>
    <w:semiHidden/>
    <w:rsid w:val="00E21EAF"/>
    <w:rPr>
      <w:rFonts w:cstheme="majorBidi"/>
      <w:sz w:val="24"/>
      <w:szCs w:val="24"/>
    </w:rPr>
  </w:style>
  <w:style w:type="character" w:customStyle="1" w:styleId="Heading8Char">
    <w:name w:val="Heading 8 Char"/>
    <w:basedOn w:val="DefaultParagraphFont"/>
    <w:link w:val="Heading8"/>
    <w:uiPriority w:val="9"/>
    <w:semiHidden/>
    <w:rsid w:val="00E21EAF"/>
    <w:rPr>
      <w:i/>
      <w:iCs/>
      <w:sz w:val="24"/>
      <w:szCs w:val="24"/>
    </w:rPr>
  </w:style>
  <w:style w:type="character" w:customStyle="1" w:styleId="Heading9Char">
    <w:name w:val="Heading 9 Char"/>
    <w:basedOn w:val="DefaultParagraphFont"/>
    <w:link w:val="Heading9"/>
    <w:uiPriority w:val="9"/>
    <w:semiHidden/>
    <w:rsid w:val="00E21EAF"/>
    <w:rPr>
      <w:rFonts w:asciiTheme="majorHAnsi" w:eastAsiaTheme="majorEastAsia" w:hAnsiTheme="majorHAnsi" w:cstheme="majorBidi"/>
    </w:rPr>
  </w:style>
  <w:style w:type="paragraph" w:styleId="Caption">
    <w:name w:val="caption"/>
    <w:basedOn w:val="Normal"/>
    <w:next w:val="Normal"/>
    <w:uiPriority w:val="2"/>
    <w:unhideWhenUsed/>
    <w:qFormat/>
    <w:rsid w:val="0031668B"/>
    <w:pPr>
      <w:autoSpaceDE w:val="0"/>
      <w:autoSpaceDN w:val="0"/>
      <w:adjustRightInd w:val="0"/>
      <w:spacing w:line="480" w:lineRule="auto"/>
      <w:ind w:firstLine="720"/>
      <w:jc w:val="center"/>
    </w:pPr>
    <w:rPr>
      <w:b/>
      <w:bCs/>
      <w:caps/>
      <w:lang w:val="en-US"/>
    </w:rPr>
  </w:style>
  <w:style w:type="character" w:customStyle="1" w:styleId="TitleChar">
    <w:name w:val="Title Char"/>
    <w:basedOn w:val="DefaultParagraphFont"/>
    <w:link w:val="Title"/>
    <w:uiPriority w:val="10"/>
    <w:rsid w:val="00E21EAF"/>
    <w:rPr>
      <w:rFonts w:asciiTheme="majorHAnsi" w:eastAsiaTheme="majorEastAsia" w:hAnsiTheme="majorHAnsi" w:cstheme="majorBidi"/>
      <w:b/>
      <w:bCs/>
      <w:kern w:val="28"/>
      <w:sz w:val="32"/>
      <w:szCs w:val="32"/>
    </w:rPr>
  </w:style>
  <w:style w:type="character" w:customStyle="1" w:styleId="SubtitleChar">
    <w:name w:val="Subtitle Char"/>
    <w:basedOn w:val="DefaultParagraphFont"/>
    <w:link w:val="Subtitle"/>
    <w:uiPriority w:val="11"/>
    <w:rsid w:val="00E21EAF"/>
    <w:rPr>
      <w:rFonts w:asciiTheme="majorHAnsi" w:eastAsiaTheme="majorEastAsia" w:hAnsiTheme="majorHAnsi"/>
      <w:sz w:val="24"/>
      <w:szCs w:val="24"/>
    </w:rPr>
  </w:style>
  <w:style w:type="character" w:styleId="Strong">
    <w:name w:val="Strong"/>
    <w:basedOn w:val="DefaultParagraphFont"/>
    <w:uiPriority w:val="22"/>
    <w:qFormat/>
    <w:rsid w:val="00E21EAF"/>
    <w:rPr>
      <w:b/>
      <w:bCs/>
    </w:rPr>
  </w:style>
  <w:style w:type="character" w:styleId="Emphasis">
    <w:name w:val="Emphasis"/>
    <w:basedOn w:val="DefaultParagraphFont"/>
    <w:uiPriority w:val="20"/>
    <w:qFormat/>
    <w:rsid w:val="00E21EAF"/>
    <w:rPr>
      <w:rFonts w:asciiTheme="minorHAnsi" w:hAnsiTheme="minorHAnsi"/>
      <w:b/>
      <w:i/>
      <w:iCs/>
    </w:rPr>
  </w:style>
  <w:style w:type="paragraph" w:styleId="NoSpacing">
    <w:name w:val="No Spacing"/>
    <w:basedOn w:val="Normal"/>
    <w:uiPriority w:val="1"/>
    <w:qFormat/>
    <w:rsid w:val="00E21EAF"/>
    <w:rPr>
      <w:szCs w:val="32"/>
    </w:rPr>
  </w:style>
  <w:style w:type="paragraph" w:styleId="Quote">
    <w:name w:val="Quote"/>
    <w:basedOn w:val="Normal"/>
    <w:next w:val="Normal"/>
    <w:link w:val="QuoteChar"/>
    <w:uiPriority w:val="29"/>
    <w:qFormat/>
    <w:rsid w:val="00E21EAF"/>
    <w:rPr>
      <w:i/>
    </w:rPr>
  </w:style>
  <w:style w:type="character" w:customStyle="1" w:styleId="QuoteChar">
    <w:name w:val="Quote Char"/>
    <w:basedOn w:val="DefaultParagraphFont"/>
    <w:link w:val="Quote"/>
    <w:uiPriority w:val="29"/>
    <w:rsid w:val="00E21EAF"/>
    <w:rPr>
      <w:i/>
      <w:sz w:val="24"/>
      <w:szCs w:val="24"/>
    </w:rPr>
  </w:style>
  <w:style w:type="paragraph" w:styleId="IntenseQuote">
    <w:name w:val="Intense Quote"/>
    <w:basedOn w:val="Normal"/>
    <w:next w:val="Normal"/>
    <w:link w:val="IntenseQuoteChar"/>
    <w:uiPriority w:val="30"/>
    <w:qFormat/>
    <w:rsid w:val="00E21EAF"/>
    <w:pPr>
      <w:ind w:left="720" w:right="720"/>
    </w:pPr>
    <w:rPr>
      <w:b/>
      <w:i/>
      <w:szCs w:val="22"/>
    </w:rPr>
  </w:style>
  <w:style w:type="character" w:customStyle="1" w:styleId="IntenseQuoteChar">
    <w:name w:val="Intense Quote Char"/>
    <w:basedOn w:val="DefaultParagraphFont"/>
    <w:link w:val="IntenseQuote"/>
    <w:uiPriority w:val="30"/>
    <w:rsid w:val="00E21EAF"/>
    <w:rPr>
      <w:b/>
      <w:i/>
      <w:sz w:val="24"/>
    </w:rPr>
  </w:style>
  <w:style w:type="character" w:styleId="SubtleEmphasis">
    <w:name w:val="Subtle Emphasis"/>
    <w:uiPriority w:val="19"/>
    <w:qFormat/>
    <w:rsid w:val="00E21EAF"/>
    <w:rPr>
      <w:i/>
      <w:color w:val="5A5A5A" w:themeColor="text1" w:themeTint="A5"/>
    </w:rPr>
  </w:style>
  <w:style w:type="character" w:styleId="IntenseEmphasis">
    <w:name w:val="Intense Emphasis"/>
    <w:basedOn w:val="DefaultParagraphFont"/>
    <w:uiPriority w:val="21"/>
    <w:qFormat/>
    <w:rsid w:val="00E21EAF"/>
    <w:rPr>
      <w:b/>
      <w:i/>
      <w:sz w:val="24"/>
      <w:szCs w:val="24"/>
      <w:u w:val="single"/>
    </w:rPr>
  </w:style>
  <w:style w:type="character" w:styleId="SubtleReference">
    <w:name w:val="Subtle Reference"/>
    <w:basedOn w:val="DefaultParagraphFont"/>
    <w:uiPriority w:val="31"/>
    <w:qFormat/>
    <w:rsid w:val="00E21EAF"/>
    <w:rPr>
      <w:sz w:val="24"/>
      <w:szCs w:val="24"/>
      <w:u w:val="single"/>
    </w:rPr>
  </w:style>
  <w:style w:type="character" w:styleId="IntenseReference">
    <w:name w:val="Intense Reference"/>
    <w:basedOn w:val="DefaultParagraphFont"/>
    <w:uiPriority w:val="32"/>
    <w:qFormat/>
    <w:rsid w:val="00E21EAF"/>
    <w:rPr>
      <w:b/>
      <w:sz w:val="24"/>
      <w:u w:val="single"/>
    </w:rPr>
  </w:style>
  <w:style w:type="character" w:styleId="BookTitle">
    <w:name w:val="Book Title"/>
    <w:basedOn w:val="DefaultParagraphFont"/>
    <w:uiPriority w:val="33"/>
    <w:qFormat/>
    <w:rsid w:val="00E21E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21EAF"/>
    <w:pPr>
      <w:outlineLvl w:val="9"/>
    </w:pPr>
  </w:style>
  <w:style w:type="paragraph" w:styleId="ListParagraph">
    <w:name w:val="List Paragraph"/>
    <w:basedOn w:val="Normal"/>
    <w:uiPriority w:val="34"/>
    <w:qFormat/>
    <w:rsid w:val="00E21EAF"/>
    <w:pPr>
      <w:ind w:left="720"/>
      <w:contextualSpacing/>
    </w:pPr>
  </w:style>
  <w:style w:type="paragraph" w:styleId="CommentSubject">
    <w:name w:val="annotation subject"/>
    <w:basedOn w:val="CommentText"/>
    <w:next w:val="CommentText"/>
    <w:link w:val="CommentSubjectChar"/>
    <w:uiPriority w:val="99"/>
    <w:semiHidden/>
    <w:unhideWhenUsed/>
    <w:rsid w:val="00235393"/>
    <w:rPr>
      <w:b/>
      <w:bCs/>
    </w:rPr>
  </w:style>
  <w:style w:type="character" w:customStyle="1" w:styleId="CommentSubjectChar">
    <w:name w:val="Comment Subject Char"/>
    <w:basedOn w:val="CommentTextChar"/>
    <w:link w:val="CommentSubject"/>
    <w:uiPriority w:val="99"/>
    <w:semiHidden/>
    <w:rsid w:val="00235393"/>
    <w:rPr>
      <w:b/>
      <w:bCs/>
      <w:sz w:val="20"/>
      <w:szCs w:val="20"/>
    </w:rPr>
  </w:style>
  <w:style w:type="paragraph" w:styleId="Header">
    <w:name w:val="header"/>
    <w:basedOn w:val="Normal"/>
    <w:link w:val="HeaderChar"/>
    <w:uiPriority w:val="99"/>
    <w:unhideWhenUsed/>
    <w:rsid w:val="00E473EF"/>
    <w:pPr>
      <w:tabs>
        <w:tab w:val="center" w:pos="4680"/>
        <w:tab w:val="right" w:pos="9360"/>
      </w:tabs>
    </w:pPr>
  </w:style>
  <w:style w:type="character" w:customStyle="1" w:styleId="HeaderChar">
    <w:name w:val="Header Char"/>
    <w:basedOn w:val="DefaultParagraphFont"/>
    <w:link w:val="Header"/>
    <w:uiPriority w:val="99"/>
    <w:rsid w:val="00E473EF"/>
    <w:rPr>
      <w:sz w:val="24"/>
      <w:szCs w:val="24"/>
    </w:rPr>
  </w:style>
  <w:style w:type="paragraph" w:styleId="Footer">
    <w:name w:val="footer"/>
    <w:basedOn w:val="Normal"/>
    <w:link w:val="FooterChar"/>
    <w:uiPriority w:val="99"/>
    <w:unhideWhenUsed/>
    <w:rsid w:val="00E473EF"/>
    <w:pPr>
      <w:tabs>
        <w:tab w:val="center" w:pos="4680"/>
        <w:tab w:val="right" w:pos="9360"/>
      </w:tabs>
    </w:pPr>
  </w:style>
  <w:style w:type="character" w:customStyle="1" w:styleId="FooterChar">
    <w:name w:val="Footer Char"/>
    <w:basedOn w:val="DefaultParagraphFont"/>
    <w:link w:val="Footer"/>
    <w:uiPriority w:val="99"/>
    <w:rsid w:val="00E473EF"/>
    <w:rPr>
      <w:sz w:val="24"/>
      <w:szCs w:val="24"/>
    </w:rPr>
  </w:style>
  <w:style w:type="table" w:styleId="TableGrid">
    <w:name w:val="Table Grid"/>
    <w:basedOn w:val="TableNormal"/>
    <w:uiPriority w:val="39"/>
    <w:rsid w:val="00154291"/>
    <w:rPr>
      <w:rFonts w:eastAsia="Calibri"/>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3F4D"/>
    <w:pPr>
      <w:spacing w:before="100" w:beforeAutospacing="1" w:after="100" w:afterAutospacing="1"/>
    </w:pPr>
    <w:rPr>
      <w:rFonts w:ascii="Times New Roman" w:eastAsia="Times New Roman" w:hAnsi="Times New Roman"/>
      <w:lang w:val="en-CA"/>
    </w:rPr>
  </w:style>
  <w:style w:type="table" w:styleId="GridTable1Light">
    <w:name w:val="Grid Table 1 Light"/>
    <w:basedOn w:val="TableNormal"/>
    <w:uiPriority w:val="46"/>
    <w:rsid w:val="006A2E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17690"/>
    <w:rPr>
      <w:color w:val="0000FF" w:themeColor="hyperlink"/>
      <w:u w:val="single"/>
    </w:rPr>
  </w:style>
  <w:style w:type="character" w:customStyle="1" w:styleId="UnresolvedMention1">
    <w:name w:val="Unresolved Mention1"/>
    <w:basedOn w:val="DefaultParagraphFont"/>
    <w:uiPriority w:val="99"/>
    <w:semiHidden/>
    <w:unhideWhenUsed/>
    <w:rsid w:val="00D17690"/>
    <w:rPr>
      <w:color w:val="605E5C"/>
      <w:shd w:val="clear" w:color="auto" w:fill="E1DFDD"/>
    </w:rPr>
  </w:style>
  <w:style w:type="table" w:styleId="TableGridLight">
    <w:name w:val="Grid Table Light"/>
    <w:basedOn w:val="TableNormal"/>
    <w:uiPriority w:val="40"/>
    <w:rsid w:val="004920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B2358"/>
    <w:rPr>
      <w:sz w:val="24"/>
      <w:szCs w:val="24"/>
    </w:rPr>
  </w:style>
  <w:style w:type="character" w:styleId="UnresolvedMention">
    <w:name w:val="Unresolved Mention"/>
    <w:basedOn w:val="DefaultParagraphFont"/>
    <w:uiPriority w:val="99"/>
    <w:semiHidden/>
    <w:unhideWhenUsed/>
    <w:rsid w:val="00042779"/>
    <w:rPr>
      <w:color w:val="605E5C"/>
      <w:shd w:val="clear" w:color="auto" w:fill="E1DFDD"/>
    </w:rPr>
  </w:style>
  <w:style w:type="character" w:customStyle="1" w:styleId="mi">
    <w:name w:val="mi"/>
    <w:basedOn w:val="DefaultParagraphFont"/>
    <w:rsid w:val="006F0A2D"/>
  </w:style>
  <w:style w:type="character" w:styleId="FollowedHyperlink">
    <w:name w:val="FollowedHyperlink"/>
    <w:basedOn w:val="DefaultParagraphFont"/>
    <w:uiPriority w:val="99"/>
    <w:semiHidden/>
    <w:unhideWhenUsed/>
    <w:rsid w:val="009A034D"/>
    <w:rPr>
      <w:color w:val="800080" w:themeColor="followedHyperlink"/>
      <w:u w:val="single"/>
    </w:rPr>
  </w:style>
  <w:style w:type="table" w:styleId="PlainTable2">
    <w:name w:val="Plain Table 2"/>
    <w:basedOn w:val="TableNormal"/>
    <w:uiPriority w:val="42"/>
    <w:rsid w:val="005365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C21AB1"/>
    <w:rPr>
      <w:sz w:val="20"/>
      <w:szCs w:val="20"/>
    </w:rPr>
  </w:style>
  <w:style w:type="character" w:customStyle="1" w:styleId="FootnoteTextChar">
    <w:name w:val="Footnote Text Char"/>
    <w:basedOn w:val="DefaultParagraphFont"/>
    <w:link w:val="FootnoteText"/>
    <w:uiPriority w:val="99"/>
    <w:semiHidden/>
    <w:rsid w:val="00C21AB1"/>
    <w:rPr>
      <w:sz w:val="20"/>
      <w:szCs w:val="20"/>
    </w:rPr>
  </w:style>
  <w:style w:type="character" w:styleId="FootnoteReference">
    <w:name w:val="footnote reference"/>
    <w:basedOn w:val="DefaultParagraphFont"/>
    <w:uiPriority w:val="99"/>
    <w:semiHidden/>
    <w:unhideWhenUsed/>
    <w:rsid w:val="00C21AB1"/>
    <w:rPr>
      <w:vertAlign w:val="superscript"/>
    </w:rPr>
  </w:style>
  <w:style w:type="character" w:styleId="EndnoteReference">
    <w:name w:val="endnote reference"/>
    <w:basedOn w:val="DefaultParagraphFont"/>
    <w:uiPriority w:val="99"/>
    <w:semiHidden/>
    <w:unhideWhenUsed/>
    <w:rsid w:val="005639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1495">
      <w:bodyDiv w:val="1"/>
      <w:marLeft w:val="0"/>
      <w:marRight w:val="0"/>
      <w:marTop w:val="0"/>
      <w:marBottom w:val="0"/>
      <w:divBdr>
        <w:top w:val="none" w:sz="0" w:space="0" w:color="auto"/>
        <w:left w:val="none" w:sz="0" w:space="0" w:color="auto"/>
        <w:bottom w:val="none" w:sz="0" w:space="0" w:color="auto"/>
        <w:right w:val="none" w:sz="0" w:space="0" w:color="auto"/>
      </w:divBdr>
      <w:divsChild>
        <w:div w:id="151142871">
          <w:marLeft w:val="0"/>
          <w:marRight w:val="0"/>
          <w:marTop w:val="240"/>
          <w:marBottom w:val="240"/>
          <w:divBdr>
            <w:top w:val="none" w:sz="0" w:space="0" w:color="auto"/>
            <w:left w:val="none" w:sz="0" w:space="0" w:color="auto"/>
            <w:bottom w:val="none" w:sz="0" w:space="0" w:color="auto"/>
            <w:right w:val="none" w:sz="0" w:space="0" w:color="auto"/>
          </w:divBdr>
        </w:div>
      </w:divsChild>
    </w:div>
    <w:div w:id="26033232">
      <w:bodyDiv w:val="1"/>
      <w:marLeft w:val="0"/>
      <w:marRight w:val="0"/>
      <w:marTop w:val="0"/>
      <w:marBottom w:val="0"/>
      <w:divBdr>
        <w:top w:val="none" w:sz="0" w:space="0" w:color="auto"/>
        <w:left w:val="none" w:sz="0" w:space="0" w:color="auto"/>
        <w:bottom w:val="none" w:sz="0" w:space="0" w:color="auto"/>
        <w:right w:val="none" w:sz="0" w:space="0" w:color="auto"/>
      </w:divBdr>
    </w:div>
    <w:div w:id="58478203">
      <w:bodyDiv w:val="1"/>
      <w:marLeft w:val="0"/>
      <w:marRight w:val="0"/>
      <w:marTop w:val="0"/>
      <w:marBottom w:val="0"/>
      <w:divBdr>
        <w:top w:val="none" w:sz="0" w:space="0" w:color="auto"/>
        <w:left w:val="none" w:sz="0" w:space="0" w:color="auto"/>
        <w:bottom w:val="none" w:sz="0" w:space="0" w:color="auto"/>
        <w:right w:val="none" w:sz="0" w:space="0" w:color="auto"/>
      </w:divBdr>
    </w:div>
    <w:div w:id="143858250">
      <w:bodyDiv w:val="1"/>
      <w:marLeft w:val="0"/>
      <w:marRight w:val="0"/>
      <w:marTop w:val="0"/>
      <w:marBottom w:val="0"/>
      <w:divBdr>
        <w:top w:val="none" w:sz="0" w:space="0" w:color="auto"/>
        <w:left w:val="none" w:sz="0" w:space="0" w:color="auto"/>
        <w:bottom w:val="none" w:sz="0" w:space="0" w:color="auto"/>
        <w:right w:val="none" w:sz="0" w:space="0" w:color="auto"/>
      </w:divBdr>
    </w:div>
    <w:div w:id="179662687">
      <w:bodyDiv w:val="1"/>
      <w:marLeft w:val="0"/>
      <w:marRight w:val="0"/>
      <w:marTop w:val="0"/>
      <w:marBottom w:val="0"/>
      <w:divBdr>
        <w:top w:val="none" w:sz="0" w:space="0" w:color="auto"/>
        <w:left w:val="none" w:sz="0" w:space="0" w:color="auto"/>
        <w:bottom w:val="none" w:sz="0" w:space="0" w:color="auto"/>
        <w:right w:val="none" w:sz="0" w:space="0" w:color="auto"/>
      </w:divBdr>
    </w:div>
    <w:div w:id="207567237">
      <w:bodyDiv w:val="1"/>
      <w:marLeft w:val="0"/>
      <w:marRight w:val="0"/>
      <w:marTop w:val="0"/>
      <w:marBottom w:val="0"/>
      <w:divBdr>
        <w:top w:val="none" w:sz="0" w:space="0" w:color="auto"/>
        <w:left w:val="none" w:sz="0" w:space="0" w:color="auto"/>
        <w:bottom w:val="none" w:sz="0" w:space="0" w:color="auto"/>
        <w:right w:val="none" w:sz="0" w:space="0" w:color="auto"/>
      </w:divBdr>
    </w:div>
    <w:div w:id="282464153">
      <w:bodyDiv w:val="1"/>
      <w:marLeft w:val="0"/>
      <w:marRight w:val="0"/>
      <w:marTop w:val="0"/>
      <w:marBottom w:val="0"/>
      <w:divBdr>
        <w:top w:val="none" w:sz="0" w:space="0" w:color="auto"/>
        <w:left w:val="none" w:sz="0" w:space="0" w:color="auto"/>
        <w:bottom w:val="none" w:sz="0" w:space="0" w:color="auto"/>
        <w:right w:val="none" w:sz="0" w:space="0" w:color="auto"/>
      </w:divBdr>
    </w:div>
    <w:div w:id="290286076">
      <w:bodyDiv w:val="1"/>
      <w:marLeft w:val="0"/>
      <w:marRight w:val="0"/>
      <w:marTop w:val="0"/>
      <w:marBottom w:val="0"/>
      <w:divBdr>
        <w:top w:val="none" w:sz="0" w:space="0" w:color="auto"/>
        <w:left w:val="none" w:sz="0" w:space="0" w:color="auto"/>
        <w:bottom w:val="none" w:sz="0" w:space="0" w:color="auto"/>
        <w:right w:val="none" w:sz="0" w:space="0" w:color="auto"/>
      </w:divBdr>
    </w:div>
    <w:div w:id="314993319">
      <w:bodyDiv w:val="1"/>
      <w:marLeft w:val="0"/>
      <w:marRight w:val="0"/>
      <w:marTop w:val="0"/>
      <w:marBottom w:val="0"/>
      <w:divBdr>
        <w:top w:val="none" w:sz="0" w:space="0" w:color="auto"/>
        <w:left w:val="none" w:sz="0" w:space="0" w:color="auto"/>
        <w:bottom w:val="none" w:sz="0" w:space="0" w:color="auto"/>
        <w:right w:val="none" w:sz="0" w:space="0" w:color="auto"/>
      </w:divBdr>
    </w:div>
    <w:div w:id="316881227">
      <w:bodyDiv w:val="1"/>
      <w:marLeft w:val="0"/>
      <w:marRight w:val="0"/>
      <w:marTop w:val="0"/>
      <w:marBottom w:val="0"/>
      <w:divBdr>
        <w:top w:val="none" w:sz="0" w:space="0" w:color="auto"/>
        <w:left w:val="none" w:sz="0" w:space="0" w:color="auto"/>
        <w:bottom w:val="none" w:sz="0" w:space="0" w:color="auto"/>
        <w:right w:val="none" w:sz="0" w:space="0" w:color="auto"/>
      </w:divBdr>
    </w:div>
    <w:div w:id="319892282">
      <w:bodyDiv w:val="1"/>
      <w:marLeft w:val="0"/>
      <w:marRight w:val="0"/>
      <w:marTop w:val="0"/>
      <w:marBottom w:val="0"/>
      <w:divBdr>
        <w:top w:val="none" w:sz="0" w:space="0" w:color="auto"/>
        <w:left w:val="none" w:sz="0" w:space="0" w:color="auto"/>
        <w:bottom w:val="none" w:sz="0" w:space="0" w:color="auto"/>
        <w:right w:val="none" w:sz="0" w:space="0" w:color="auto"/>
      </w:divBdr>
      <w:divsChild>
        <w:div w:id="144662995">
          <w:marLeft w:val="480"/>
          <w:marRight w:val="0"/>
          <w:marTop w:val="0"/>
          <w:marBottom w:val="0"/>
          <w:divBdr>
            <w:top w:val="none" w:sz="0" w:space="0" w:color="auto"/>
            <w:left w:val="none" w:sz="0" w:space="0" w:color="auto"/>
            <w:bottom w:val="none" w:sz="0" w:space="0" w:color="auto"/>
            <w:right w:val="none" w:sz="0" w:space="0" w:color="auto"/>
          </w:divBdr>
          <w:divsChild>
            <w:div w:id="19052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431">
      <w:bodyDiv w:val="1"/>
      <w:marLeft w:val="0"/>
      <w:marRight w:val="0"/>
      <w:marTop w:val="0"/>
      <w:marBottom w:val="0"/>
      <w:divBdr>
        <w:top w:val="none" w:sz="0" w:space="0" w:color="auto"/>
        <w:left w:val="none" w:sz="0" w:space="0" w:color="auto"/>
        <w:bottom w:val="none" w:sz="0" w:space="0" w:color="auto"/>
        <w:right w:val="none" w:sz="0" w:space="0" w:color="auto"/>
      </w:divBdr>
    </w:div>
    <w:div w:id="365645553">
      <w:bodyDiv w:val="1"/>
      <w:marLeft w:val="0"/>
      <w:marRight w:val="0"/>
      <w:marTop w:val="0"/>
      <w:marBottom w:val="0"/>
      <w:divBdr>
        <w:top w:val="none" w:sz="0" w:space="0" w:color="auto"/>
        <w:left w:val="none" w:sz="0" w:space="0" w:color="auto"/>
        <w:bottom w:val="none" w:sz="0" w:space="0" w:color="auto"/>
        <w:right w:val="none" w:sz="0" w:space="0" w:color="auto"/>
      </w:divBdr>
    </w:div>
    <w:div w:id="413432850">
      <w:bodyDiv w:val="1"/>
      <w:marLeft w:val="0"/>
      <w:marRight w:val="0"/>
      <w:marTop w:val="0"/>
      <w:marBottom w:val="0"/>
      <w:divBdr>
        <w:top w:val="none" w:sz="0" w:space="0" w:color="auto"/>
        <w:left w:val="none" w:sz="0" w:space="0" w:color="auto"/>
        <w:bottom w:val="none" w:sz="0" w:space="0" w:color="auto"/>
        <w:right w:val="none" w:sz="0" w:space="0" w:color="auto"/>
      </w:divBdr>
    </w:div>
    <w:div w:id="490414967">
      <w:bodyDiv w:val="1"/>
      <w:marLeft w:val="0"/>
      <w:marRight w:val="0"/>
      <w:marTop w:val="0"/>
      <w:marBottom w:val="0"/>
      <w:divBdr>
        <w:top w:val="none" w:sz="0" w:space="0" w:color="auto"/>
        <w:left w:val="none" w:sz="0" w:space="0" w:color="auto"/>
        <w:bottom w:val="none" w:sz="0" w:space="0" w:color="auto"/>
        <w:right w:val="none" w:sz="0" w:space="0" w:color="auto"/>
      </w:divBdr>
    </w:div>
    <w:div w:id="517503085">
      <w:bodyDiv w:val="1"/>
      <w:marLeft w:val="0"/>
      <w:marRight w:val="0"/>
      <w:marTop w:val="0"/>
      <w:marBottom w:val="0"/>
      <w:divBdr>
        <w:top w:val="none" w:sz="0" w:space="0" w:color="auto"/>
        <w:left w:val="none" w:sz="0" w:space="0" w:color="auto"/>
        <w:bottom w:val="none" w:sz="0" w:space="0" w:color="auto"/>
        <w:right w:val="none" w:sz="0" w:space="0" w:color="auto"/>
      </w:divBdr>
    </w:div>
    <w:div w:id="592249851">
      <w:bodyDiv w:val="1"/>
      <w:marLeft w:val="0"/>
      <w:marRight w:val="0"/>
      <w:marTop w:val="0"/>
      <w:marBottom w:val="0"/>
      <w:divBdr>
        <w:top w:val="none" w:sz="0" w:space="0" w:color="auto"/>
        <w:left w:val="none" w:sz="0" w:space="0" w:color="auto"/>
        <w:bottom w:val="none" w:sz="0" w:space="0" w:color="auto"/>
        <w:right w:val="none" w:sz="0" w:space="0" w:color="auto"/>
      </w:divBdr>
      <w:divsChild>
        <w:div w:id="1900435520">
          <w:marLeft w:val="480"/>
          <w:marRight w:val="0"/>
          <w:marTop w:val="0"/>
          <w:marBottom w:val="0"/>
          <w:divBdr>
            <w:top w:val="none" w:sz="0" w:space="0" w:color="auto"/>
            <w:left w:val="none" w:sz="0" w:space="0" w:color="auto"/>
            <w:bottom w:val="none" w:sz="0" w:space="0" w:color="auto"/>
            <w:right w:val="none" w:sz="0" w:space="0" w:color="auto"/>
          </w:divBdr>
          <w:divsChild>
            <w:div w:id="6658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7680">
      <w:bodyDiv w:val="1"/>
      <w:marLeft w:val="0"/>
      <w:marRight w:val="0"/>
      <w:marTop w:val="0"/>
      <w:marBottom w:val="0"/>
      <w:divBdr>
        <w:top w:val="none" w:sz="0" w:space="0" w:color="auto"/>
        <w:left w:val="none" w:sz="0" w:space="0" w:color="auto"/>
        <w:bottom w:val="none" w:sz="0" w:space="0" w:color="auto"/>
        <w:right w:val="none" w:sz="0" w:space="0" w:color="auto"/>
      </w:divBdr>
    </w:div>
    <w:div w:id="716205468">
      <w:bodyDiv w:val="1"/>
      <w:marLeft w:val="0"/>
      <w:marRight w:val="0"/>
      <w:marTop w:val="0"/>
      <w:marBottom w:val="0"/>
      <w:divBdr>
        <w:top w:val="none" w:sz="0" w:space="0" w:color="auto"/>
        <w:left w:val="none" w:sz="0" w:space="0" w:color="auto"/>
        <w:bottom w:val="none" w:sz="0" w:space="0" w:color="auto"/>
        <w:right w:val="none" w:sz="0" w:space="0" w:color="auto"/>
      </w:divBdr>
    </w:div>
    <w:div w:id="808978168">
      <w:bodyDiv w:val="1"/>
      <w:marLeft w:val="0"/>
      <w:marRight w:val="0"/>
      <w:marTop w:val="0"/>
      <w:marBottom w:val="0"/>
      <w:divBdr>
        <w:top w:val="none" w:sz="0" w:space="0" w:color="auto"/>
        <w:left w:val="none" w:sz="0" w:space="0" w:color="auto"/>
        <w:bottom w:val="none" w:sz="0" w:space="0" w:color="auto"/>
        <w:right w:val="none" w:sz="0" w:space="0" w:color="auto"/>
      </w:divBdr>
    </w:div>
    <w:div w:id="877744688">
      <w:bodyDiv w:val="1"/>
      <w:marLeft w:val="0"/>
      <w:marRight w:val="0"/>
      <w:marTop w:val="0"/>
      <w:marBottom w:val="0"/>
      <w:divBdr>
        <w:top w:val="none" w:sz="0" w:space="0" w:color="auto"/>
        <w:left w:val="none" w:sz="0" w:space="0" w:color="auto"/>
        <w:bottom w:val="none" w:sz="0" w:space="0" w:color="auto"/>
        <w:right w:val="none" w:sz="0" w:space="0" w:color="auto"/>
      </w:divBdr>
    </w:div>
    <w:div w:id="902368270">
      <w:bodyDiv w:val="1"/>
      <w:marLeft w:val="0"/>
      <w:marRight w:val="0"/>
      <w:marTop w:val="0"/>
      <w:marBottom w:val="0"/>
      <w:divBdr>
        <w:top w:val="none" w:sz="0" w:space="0" w:color="auto"/>
        <w:left w:val="none" w:sz="0" w:space="0" w:color="auto"/>
        <w:bottom w:val="none" w:sz="0" w:space="0" w:color="auto"/>
        <w:right w:val="none" w:sz="0" w:space="0" w:color="auto"/>
      </w:divBdr>
    </w:div>
    <w:div w:id="997996325">
      <w:bodyDiv w:val="1"/>
      <w:marLeft w:val="0"/>
      <w:marRight w:val="0"/>
      <w:marTop w:val="0"/>
      <w:marBottom w:val="0"/>
      <w:divBdr>
        <w:top w:val="none" w:sz="0" w:space="0" w:color="auto"/>
        <w:left w:val="none" w:sz="0" w:space="0" w:color="auto"/>
        <w:bottom w:val="none" w:sz="0" w:space="0" w:color="auto"/>
        <w:right w:val="none" w:sz="0" w:space="0" w:color="auto"/>
      </w:divBdr>
      <w:divsChild>
        <w:div w:id="1152483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347016">
              <w:marLeft w:val="0"/>
              <w:marRight w:val="0"/>
              <w:marTop w:val="0"/>
              <w:marBottom w:val="0"/>
              <w:divBdr>
                <w:top w:val="none" w:sz="0" w:space="0" w:color="auto"/>
                <w:left w:val="none" w:sz="0" w:space="0" w:color="auto"/>
                <w:bottom w:val="none" w:sz="0" w:space="0" w:color="auto"/>
                <w:right w:val="none" w:sz="0" w:space="0" w:color="auto"/>
              </w:divBdr>
              <w:divsChild>
                <w:div w:id="1190022245">
                  <w:marLeft w:val="0"/>
                  <w:marRight w:val="0"/>
                  <w:marTop w:val="0"/>
                  <w:marBottom w:val="0"/>
                  <w:divBdr>
                    <w:top w:val="none" w:sz="0" w:space="0" w:color="auto"/>
                    <w:left w:val="none" w:sz="0" w:space="0" w:color="auto"/>
                    <w:bottom w:val="none" w:sz="0" w:space="0" w:color="auto"/>
                    <w:right w:val="none" w:sz="0" w:space="0" w:color="auto"/>
                  </w:divBdr>
                  <w:divsChild>
                    <w:div w:id="20522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254518">
      <w:bodyDiv w:val="1"/>
      <w:marLeft w:val="0"/>
      <w:marRight w:val="0"/>
      <w:marTop w:val="0"/>
      <w:marBottom w:val="0"/>
      <w:divBdr>
        <w:top w:val="none" w:sz="0" w:space="0" w:color="auto"/>
        <w:left w:val="none" w:sz="0" w:space="0" w:color="auto"/>
        <w:bottom w:val="none" w:sz="0" w:space="0" w:color="auto"/>
        <w:right w:val="none" w:sz="0" w:space="0" w:color="auto"/>
      </w:divBdr>
    </w:div>
    <w:div w:id="1023556812">
      <w:bodyDiv w:val="1"/>
      <w:marLeft w:val="0"/>
      <w:marRight w:val="0"/>
      <w:marTop w:val="0"/>
      <w:marBottom w:val="0"/>
      <w:divBdr>
        <w:top w:val="none" w:sz="0" w:space="0" w:color="auto"/>
        <w:left w:val="none" w:sz="0" w:space="0" w:color="auto"/>
        <w:bottom w:val="none" w:sz="0" w:space="0" w:color="auto"/>
        <w:right w:val="none" w:sz="0" w:space="0" w:color="auto"/>
      </w:divBdr>
    </w:div>
    <w:div w:id="1045908504">
      <w:bodyDiv w:val="1"/>
      <w:marLeft w:val="0"/>
      <w:marRight w:val="0"/>
      <w:marTop w:val="0"/>
      <w:marBottom w:val="0"/>
      <w:divBdr>
        <w:top w:val="none" w:sz="0" w:space="0" w:color="auto"/>
        <w:left w:val="none" w:sz="0" w:space="0" w:color="auto"/>
        <w:bottom w:val="none" w:sz="0" w:space="0" w:color="auto"/>
        <w:right w:val="none" w:sz="0" w:space="0" w:color="auto"/>
      </w:divBdr>
    </w:div>
    <w:div w:id="1055003255">
      <w:bodyDiv w:val="1"/>
      <w:marLeft w:val="0"/>
      <w:marRight w:val="0"/>
      <w:marTop w:val="0"/>
      <w:marBottom w:val="0"/>
      <w:divBdr>
        <w:top w:val="none" w:sz="0" w:space="0" w:color="auto"/>
        <w:left w:val="none" w:sz="0" w:space="0" w:color="auto"/>
        <w:bottom w:val="none" w:sz="0" w:space="0" w:color="auto"/>
        <w:right w:val="none" w:sz="0" w:space="0" w:color="auto"/>
      </w:divBdr>
    </w:div>
    <w:div w:id="1075518669">
      <w:bodyDiv w:val="1"/>
      <w:marLeft w:val="0"/>
      <w:marRight w:val="0"/>
      <w:marTop w:val="0"/>
      <w:marBottom w:val="0"/>
      <w:divBdr>
        <w:top w:val="none" w:sz="0" w:space="0" w:color="auto"/>
        <w:left w:val="none" w:sz="0" w:space="0" w:color="auto"/>
        <w:bottom w:val="none" w:sz="0" w:space="0" w:color="auto"/>
        <w:right w:val="none" w:sz="0" w:space="0" w:color="auto"/>
      </w:divBdr>
    </w:div>
    <w:div w:id="1087074494">
      <w:bodyDiv w:val="1"/>
      <w:marLeft w:val="0"/>
      <w:marRight w:val="0"/>
      <w:marTop w:val="0"/>
      <w:marBottom w:val="0"/>
      <w:divBdr>
        <w:top w:val="none" w:sz="0" w:space="0" w:color="auto"/>
        <w:left w:val="none" w:sz="0" w:space="0" w:color="auto"/>
        <w:bottom w:val="none" w:sz="0" w:space="0" w:color="auto"/>
        <w:right w:val="none" w:sz="0" w:space="0" w:color="auto"/>
      </w:divBdr>
    </w:div>
    <w:div w:id="1134641994">
      <w:bodyDiv w:val="1"/>
      <w:marLeft w:val="0"/>
      <w:marRight w:val="0"/>
      <w:marTop w:val="0"/>
      <w:marBottom w:val="0"/>
      <w:divBdr>
        <w:top w:val="none" w:sz="0" w:space="0" w:color="auto"/>
        <w:left w:val="none" w:sz="0" w:space="0" w:color="auto"/>
        <w:bottom w:val="none" w:sz="0" w:space="0" w:color="auto"/>
        <w:right w:val="none" w:sz="0" w:space="0" w:color="auto"/>
      </w:divBdr>
    </w:div>
    <w:div w:id="1196574524">
      <w:bodyDiv w:val="1"/>
      <w:marLeft w:val="0"/>
      <w:marRight w:val="0"/>
      <w:marTop w:val="0"/>
      <w:marBottom w:val="0"/>
      <w:divBdr>
        <w:top w:val="none" w:sz="0" w:space="0" w:color="auto"/>
        <w:left w:val="none" w:sz="0" w:space="0" w:color="auto"/>
        <w:bottom w:val="none" w:sz="0" w:space="0" w:color="auto"/>
        <w:right w:val="none" w:sz="0" w:space="0" w:color="auto"/>
      </w:divBdr>
      <w:divsChild>
        <w:div w:id="1581522100">
          <w:marLeft w:val="0"/>
          <w:marRight w:val="0"/>
          <w:marTop w:val="240"/>
          <w:marBottom w:val="240"/>
          <w:divBdr>
            <w:top w:val="none" w:sz="0" w:space="0" w:color="auto"/>
            <w:left w:val="none" w:sz="0" w:space="0" w:color="auto"/>
            <w:bottom w:val="none" w:sz="0" w:space="0" w:color="auto"/>
            <w:right w:val="none" w:sz="0" w:space="0" w:color="auto"/>
          </w:divBdr>
        </w:div>
      </w:divsChild>
    </w:div>
    <w:div w:id="1244023412">
      <w:bodyDiv w:val="1"/>
      <w:marLeft w:val="0"/>
      <w:marRight w:val="0"/>
      <w:marTop w:val="0"/>
      <w:marBottom w:val="0"/>
      <w:divBdr>
        <w:top w:val="none" w:sz="0" w:space="0" w:color="auto"/>
        <w:left w:val="none" w:sz="0" w:space="0" w:color="auto"/>
        <w:bottom w:val="none" w:sz="0" w:space="0" w:color="auto"/>
        <w:right w:val="none" w:sz="0" w:space="0" w:color="auto"/>
      </w:divBdr>
    </w:div>
    <w:div w:id="1245918526">
      <w:bodyDiv w:val="1"/>
      <w:marLeft w:val="0"/>
      <w:marRight w:val="0"/>
      <w:marTop w:val="0"/>
      <w:marBottom w:val="0"/>
      <w:divBdr>
        <w:top w:val="none" w:sz="0" w:space="0" w:color="auto"/>
        <w:left w:val="none" w:sz="0" w:space="0" w:color="auto"/>
        <w:bottom w:val="none" w:sz="0" w:space="0" w:color="auto"/>
        <w:right w:val="none" w:sz="0" w:space="0" w:color="auto"/>
      </w:divBdr>
    </w:div>
    <w:div w:id="1260214779">
      <w:bodyDiv w:val="1"/>
      <w:marLeft w:val="0"/>
      <w:marRight w:val="0"/>
      <w:marTop w:val="0"/>
      <w:marBottom w:val="0"/>
      <w:divBdr>
        <w:top w:val="none" w:sz="0" w:space="0" w:color="auto"/>
        <w:left w:val="none" w:sz="0" w:space="0" w:color="auto"/>
        <w:bottom w:val="none" w:sz="0" w:space="0" w:color="auto"/>
        <w:right w:val="none" w:sz="0" w:space="0" w:color="auto"/>
      </w:divBdr>
      <w:divsChild>
        <w:div w:id="1810318182">
          <w:marLeft w:val="480"/>
          <w:marRight w:val="0"/>
          <w:marTop w:val="0"/>
          <w:marBottom w:val="0"/>
          <w:divBdr>
            <w:top w:val="none" w:sz="0" w:space="0" w:color="auto"/>
            <w:left w:val="none" w:sz="0" w:space="0" w:color="auto"/>
            <w:bottom w:val="none" w:sz="0" w:space="0" w:color="auto"/>
            <w:right w:val="none" w:sz="0" w:space="0" w:color="auto"/>
          </w:divBdr>
          <w:divsChild>
            <w:div w:id="10620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06215">
      <w:bodyDiv w:val="1"/>
      <w:marLeft w:val="0"/>
      <w:marRight w:val="0"/>
      <w:marTop w:val="0"/>
      <w:marBottom w:val="0"/>
      <w:divBdr>
        <w:top w:val="none" w:sz="0" w:space="0" w:color="auto"/>
        <w:left w:val="none" w:sz="0" w:space="0" w:color="auto"/>
        <w:bottom w:val="none" w:sz="0" w:space="0" w:color="auto"/>
        <w:right w:val="none" w:sz="0" w:space="0" w:color="auto"/>
      </w:divBdr>
      <w:divsChild>
        <w:div w:id="68773498">
          <w:marLeft w:val="0"/>
          <w:marRight w:val="0"/>
          <w:marTop w:val="15"/>
          <w:marBottom w:val="15"/>
          <w:divBdr>
            <w:top w:val="none" w:sz="0" w:space="0" w:color="auto"/>
            <w:left w:val="none" w:sz="0" w:space="0" w:color="auto"/>
            <w:bottom w:val="none" w:sz="0" w:space="0" w:color="auto"/>
            <w:right w:val="none" w:sz="0" w:space="0" w:color="auto"/>
          </w:divBdr>
          <w:divsChild>
            <w:div w:id="786778381">
              <w:marLeft w:val="0"/>
              <w:marRight w:val="0"/>
              <w:marTop w:val="0"/>
              <w:marBottom w:val="0"/>
              <w:divBdr>
                <w:top w:val="none" w:sz="0" w:space="0" w:color="auto"/>
                <w:left w:val="none" w:sz="0" w:space="0" w:color="auto"/>
                <w:bottom w:val="none" w:sz="0" w:space="0" w:color="auto"/>
                <w:right w:val="none" w:sz="0" w:space="0" w:color="auto"/>
              </w:divBdr>
            </w:div>
          </w:divsChild>
        </w:div>
        <w:div w:id="425423051">
          <w:marLeft w:val="0"/>
          <w:marRight w:val="0"/>
          <w:marTop w:val="15"/>
          <w:marBottom w:val="15"/>
          <w:divBdr>
            <w:top w:val="none" w:sz="0" w:space="0" w:color="auto"/>
            <w:left w:val="none" w:sz="0" w:space="0" w:color="auto"/>
            <w:bottom w:val="none" w:sz="0" w:space="0" w:color="auto"/>
            <w:right w:val="none" w:sz="0" w:space="0" w:color="auto"/>
          </w:divBdr>
          <w:divsChild>
            <w:div w:id="1151217281">
              <w:marLeft w:val="0"/>
              <w:marRight w:val="0"/>
              <w:marTop w:val="0"/>
              <w:marBottom w:val="0"/>
              <w:divBdr>
                <w:top w:val="none" w:sz="0" w:space="0" w:color="auto"/>
                <w:left w:val="none" w:sz="0" w:space="0" w:color="auto"/>
                <w:bottom w:val="none" w:sz="0" w:space="0" w:color="auto"/>
                <w:right w:val="none" w:sz="0" w:space="0" w:color="auto"/>
              </w:divBdr>
            </w:div>
          </w:divsChild>
        </w:div>
        <w:div w:id="526722680">
          <w:marLeft w:val="0"/>
          <w:marRight w:val="0"/>
          <w:marTop w:val="15"/>
          <w:marBottom w:val="15"/>
          <w:divBdr>
            <w:top w:val="none" w:sz="0" w:space="0" w:color="auto"/>
            <w:left w:val="none" w:sz="0" w:space="0" w:color="auto"/>
            <w:bottom w:val="none" w:sz="0" w:space="0" w:color="auto"/>
            <w:right w:val="none" w:sz="0" w:space="0" w:color="auto"/>
          </w:divBdr>
          <w:divsChild>
            <w:div w:id="1226453903">
              <w:marLeft w:val="0"/>
              <w:marRight w:val="0"/>
              <w:marTop w:val="0"/>
              <w:marBottom w:val="0"/>
              <w:divBdr>
                <w:top w:val="none" w:sz="0" w:space="0" w:color="auto"/>
                <w:left w:val="none" w:sz="0" w:space="0" w:color="auto"/>
                <w:bottom w:val="none" w:sz="0" w:space="0" w:color="auto"/>
                <w:right w:val="none" w:sz="0" w:space="0" w:color="auto"/>
              </w:divBdr>
            </w:div>
          </w:divsChild>
        </w:div>
        <w:div w:id="1867478049">
          <w:marLeft w:val="0"/>
          <w:marRight w:val="0"/>
          <w:marTop w:val="15"/>
          <w:marBottom w:val="15"/>
          <w:divBdr>
            <w:top w:val="none" w:sz="0" w:space="0" w:color="auto"/>
            <w:left w:val="none" w:sz="0" w:space="0" w:color="auto"/>
            <w:bottom w:val="none" w:sz="0" w:space="0" w:color="auto"/>
            <w:right w:val="none" w:sz="0" w:space="0" w:color="auto"/>
          </w:divBdr>
          <w:divsChild>
            <w:div w:id="21156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8688">
      <w:bodyDiv w:val="1"/>
      <w:marLeft w:val="0"/>
      <w:marRight w:val="0"/>
      <w:marTop w:val="0"/>
      <w:marBottom w:val="0"/>
      <w:divBdr>
        <w:top w:val="none" w:sz="0" w:space="0" w:color="auto"/>
        <w:left w:val="none" w:sz="0" w:space="0" w:color="auto"/>
        <w:bottom w:val="none" w:sz="0" w:space="0" w:color="auto"/>
        <w:right w:val="none" w:sz="0" w:space="0" w:color="auto"/>
      </w:divBdr>
    </w:div>
    <w:div w:id="1360230873">
      <w:bodyDiv w:val="1"/>
      <w:marLeft w:val="0"/>
      <w:marRight w:val="0"/>
      <w:marTop w:val="0"/>
      <w:marBottom w:val="0"/>
      <w:divBdr>
        <w:top w:val="none" w:sz="0" w:space="0" w:color="auto"/>
        <w:left w:val="none" w:sz="0" w:space="0" w:color="auto"/>
        <w:bottom w:val="none" w:sz="0" w:space="0" w:color="auto"/>
        <w:right w:val="none" w:sz="0" w:space="0" w:color="auto"/>
      </w:divBdr>
    </w:div>
    <w:div w:id="1449157739">
      <w:bodyDiv w:val="1"/>
      <w:marLeft w:val="0"/>
      <w:marRight w:val="0"/>
      <w:marTop w:val="0"/>
      <w:marBottom w:val="0"/>
      <w:divBdr>
        <w:top w:val="none" w:sz="0" w:space="0" w:color="auto"/>
        <w:left w:val="none" w:sz="0" w:space="0" w:color="auto"/>
        <w:bottom w:val="none" w:sz="0" w:space="0" w:color="auto"/>
        <w:right w:val="none" w:sz="0" w:space="0" w:color="auto"/>
      </w:divBdr>
    </w:div>
    <w:div w:id="1468088933">
      <w:bodyDiv w:val="1"/>
      <w:marLeft w:val="0"/>
      <w:marRight w:val="0"/>
      <w:marTop w:val="0"/>
      <w:marBottom w:val="0"/>
      <w:divBdr>
        <w:top w:val="none" w:sz="0" w:space="0" w:color="auto"/>
        <w:left w:val="none" w:sz="0" w:space="0" w:color="auto"/>
        <w:bottom w:val="none" w:sz="0" w:space="0" w:color="auto"/>
        <w:right w:val="none" w:sz="0" w:space="0" w:color="auto"/>
      </w:divBdr>
      <w:divsChild>
        <w:div w:id="910502775">
          <w:marLeft w:val="446"/>
          <w:marRight w:val="0"/>
          <w:marTop w:val="0"/>
          <w:marBottom w:val="0"/>
          <w:divBdr>
            <w:top w:val="none" w:sz="0" w:space="0" w:color="auto"/>
            <w:left w:val="none" w:sz="0" w:space="0" w:color="auto"/>
            <w:bottom w:val="none" w:sz="0" w:space="0" w:color="auto"/>
            <w:right w:val="none" w:sz="0" w:space="0" w:color="auto"/>
          </w:divBdr>
        </w:div>
        <w:div w:id="1163858354">
          <w:marLeft w:val="446"/>
          <w:marRight w:val="0"/>
          <w:marTop w:val="0"/>
          <w:marBottom w:val="0"/>
          <w:divBdr>
            <w:top w:val="none" w:sz="0" w:space="0" w:color="auto"/>
            <w:left w:val="none" w:sz="0" w:space="0" w:color="auto"/>
            <w:bottom w:val="none" w:sz="0" w:space="0" w:color="auto"/>
            <w:right w:val="none" w:sz="0" w:space="0" w:color="auto"/>
          </w:divBdr>
        </w:div>
      </w:divsChild>
    </w:div>
    <w:div w:id="1471508934">
      <w:bodyDiv w:val="1"/>
      <w:marLeft w:val="0"/>
      <w:marRight w:val="0"/>
      <w:marTop w:val="0"/>
      <w:marBottom w:val="0"/>
      <w:divBdr>
        <w:top w:val="none" w:sz="0" w:space="0" w:color="auto"/>
        <w:left w:val="none" w:sz="0" w:space="0" w:color="auto"/>
        <w:bottom w:val="none" w:sz="0" w:space="0" w:color="auto"/>
        <w:right w:val="none" w:sz="0" w:space="0" w:color="auto"/>
      </w:divBdr>
    </w:div>
    <w:div w:id="1513832421">
      <w:bodyDiv w:val="1"/>
      <w:marLeft w:val="0"/>
      <w:marRight w:val="0"/>
      <w:marTop w:val="0"/>
      <w:marBottom w:val="0"/>
      <w:divBdr>
        <w:top w:val="none" w:sz="0" w:space="0" w:color="auto"/>
        <w:left w:val="none" w:sz="0" w:space="0" w:color="auto"/>
        <w:bottom w:val="none" w:sz="0" w:space="0" w:color="auto"/>
        <w:right w:val="none" w:sz="0" w:space="0" w:color="auto"/>
      </w:divBdr>
    </w:div>
    <w:div w:id="1638217606">
      <w:bodyDiv w:val="1"/>
      <w:marLeft w:val="0"/>
      <w:marRight w:val="0"/>
      <w:marTop w:val="0"/>
      <w:marBottom w:val="0"/>
      <w:divBdr>
        <w:top w:val="none" w:sz="0" w:space="0" w:color="auto"/>
        <w:left w:val="none" w:sz="0" w:space="0" w:color="auto"/>
        <w:bottom w:val="none" w:sz="0" w:space="0" w:color="auto"/>
        <w:right w:val="none" w:sz="0" w:space="0" w:color="auto"/>
      </w:divBdr>
    </w:div>
    <w:div w:id="1663048606">
      <w:bodyDiv w:val="1"/>
      <w:marLeft w:val="0"/>
      <w:marRight w:val="0"/>
      <w:marTop w:val="0"/>
      <w:marBottom w:val="0"/>
      <w:divBdr>
        <w:top w:val="none" w:sz="0" w:space="0" w:color="auto"/>
        <w:left w:val="none" w:sz="0" w:space="0" w:color="auto"/>
        <w:bottom w:val="none" w:sz="0" w:space="0" w:color="auto"/>
        <w:right w:val="none" w:sz="0" w:space="0" w:color="auto"/>
      </w:divBdr>
    </w:div>
    <w:div w:id="1681395539">
      <w:bodyDiv w:val="1"/>
      <w:marLeft w:val="0"/>
      <w:marRight w:val="0"/>
      <w:marTop w:val="0"/>
      <w:marBottom w:val="0"/>
      <w:divBdr>
        <w:top w:val="none" w:sz="0" w:space="0" w:color="auto"/>
        <w:left w:val="none" w:sz="0" w:space="0" w:color="auto"/>
        <w:bottom w:val="none" w:sz="0" w:space="0" w:color="auto"/>
        <w:right w:val="none" w:sz="0" w:space="0" w:color="auto"/>
      </w:divBdr>
    </w:div>
    <w:div w:id="1684818173">
      <w:bodyDiv w:val="1"/>
      <w:marLeft w:val="0"/>
      <w:marRight w:val="0"/>
      <w:marTop w:val="0"/>
      <w:marBottom w:val="0"/>
      <w:divBdr>
        <w:top w:val="none" w:sz="0" w:space="0" w:color="auto"/>
        <w:left w:val="none" w:sz="0" w:space="0" w:color="auto"/>
        <w:bottom w:val="none" w:sz="0" w:space="0" w:color="auto"/>
        <w:right w:val="none" w:sz="0" w:space="0" w:color="auto"/>
      </w:divBdr>
    </w:div>
    <w:div w:id="1704357417">
      <w:bodyDiv w:val="1"/>
      <w:marLeft w:val="0"/>
      <w:marRight w:val="0"/>
      <w:marTop w:val="0"/>
      <w:marBottom w:val="0"/>
      <w:divBdr>
        <w:top w:val="none" w:sz="0" w:space="0" w:color="auto"/>
        <w:left w:val="none" w:sz="0" w:space="0" w:color="auto"/>
        <w:bottom w:val="none" w:sz="0" w:space="0" w:color="auto"/>
        <w:right w:val="none" w:sz="0" w:space="0" w:color="auto"/>
      </w:divBdr>
    </w:div>
    <w:div w:id="1729843546">
      <w:bodyDiv w:val="1"/>
      <w:marLeft w:val="0"/>
      <w:marRight w:val="0"/>
      <w:marTop w:val="0"/>
      <w:marBottom w:val="0"/>
      <w:divBdr>
        <w:top w:val="none" w:sz="0" w:space="0" w:color="auto"/>
        <w:left w:val="none" w:sz="0" w:space="0" w:color="auto"/>
        <w:bottom w:val="none" w:sz="0" w:space="0" w:color="auto"/>
        <w:right w:val="none" w:sz="0" w:space="0" w:color="auto"/>
      </w:divBdr>
      <w:divsChild>
        <w:div w:id="1619531383">
          <w:marLeft w:val="480"/>
          <w:marRight w:val="0"/>
          <w:marTop w:val="0"/>
          <w:marBottom w:val="0"/>
          <w:divBdr>
            <w:top w:val="none" w:sz="0" w:space="0" w:color="auto"/>
            <w:left w:val="none" w:sz="0" w:space="0" w:color="auto"/>
            <w:bottom w:val="none" w:sz="0" w:space="0" w:color="auto"/>
            <w:right w:val="none" w:sz="0" w:space="0" w:color="auto"/>
          </w:divBdr>
          <w:divsChild>
            <w:div w:id="9159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25560">
      <w:bodyDiv w:val="1"/>
      <w:marLeft w:val="0"/>
      <w:marRight w:val="0"/>
      <w:marTop w:val="0"/>
      <w:marBottom w:val="0"/>
      <w:divBdr>
        <w:top w:val="none" w:sz="0" w:space="0" w:color="auto"/>
        <w:left w:val="none" w:sz="0" w:space="0" w:color="auto"/>
        <w:bottom w:val="none" w:sz="0" w:space="0" w:color="auto"/>
        <w:right w:val="none" w:sz="0" w:space="0" w:color="auto"/>
      </w:divBdr>
    </w:div>
    <w:div w:id="1768428282">
      <w:bodyDiv w:val="1"/>
      <w:marLeft w:val="0"/>
      <w:marRight w:val="0"/>
      <w:marTop w:val="0"/>
      <w:marBottom w:val="0"/>
      <w:divBdr>
        <w:top w:val="none" w:sz="0" w:space="0" w:color="auto"/>
        <w:left w:val="none" w:sz="0" w:space="0" w:color="auto"/>
        <w:bottom w:val="none" w:sz="0" w:space="0" w:color="auto"/>
        <w:right w:val="none" w:sz="0" w:space="0" w:color="auto"/>
      </w:divBdr>
    </w:div>
    <w:div w:id="1773163854">
      <w:bodyDiv w:val="1"/>
      <w:marLeft w:val="0"/>
      <w:marRight w:val="0"/>
      <w:marTop w:val="0"/>
      <w:marBottom w:val="0"/>
      <w:divBdr>
        <w:top w:val="none" w:sz="0" w:space="0" w:color="auto"/>
        <w:left w:val="none" w:sz="0" w:space="0" w:color="auto"/>
        <w:bottom w:val="none" w:sz="0" w:space="0" w:color="auto"/>
        <w:right w:val="none" w:sz="0" w:space="0" w:color="auto"/>
      </w:divBdr>
      <w:divsChild>
        <w:div w:id="1487087134">
          <w:marLeft w:val="446"/>
          <w:marRight w:val="0"/>
          <w:marTop w:val="0"/>
          <w:marBottom w:val="0"/>
          <w:divBdr>
            <w:top w:val="none" w:sz="0" w:space="0" w:color="auto"/>
            <w:left w:val="none" w:sz="0" w:space="0" w:color="auto"/>
            <w:bottom w:val="none" w:sz="0" w:space="0" w:color="auto"/>
            <w:right w:val="none" w:sz="0" w:space="0" w:color="auto"/>
          </w:divBdr>
        </w:div>
      </w:divsChild>
    </w:div>
    <w:div w:id="1849825707">
      <w:bodyDiv w:val="1"/>
      <w:marLeft w:val="0"/>
      <w:marRight w:val="0"/>
      <w:marTop w:val="0"/>
      <w:marBottom w:val="0"/>
      <w:divBdr>
        <w:top w:val="none" w:sz="0" w:space="0" w:color="auto"/>
        <w:left w:val="none" w:sz="0" w:space="0" w:color="auto"/>
        <w:bottom w:val="none" w:sz="0" w:space="0" w:color="auto"/>
        <w:right w:val="none" w:sz="0" w:space="0" w:color="auto"/>
      </w:divBdr>
    </w:div>
    <w:div w:id="1916430085">
      <w:bodyDiv w:val="1"/>
      <w:marLeft w:val="0"/>
      <w:marRight w:val="0"/>
      <w:marTop w:val="0"/>
      <w:marBottom w:val="0"/>
      <w:divBdr>
        <w:top w:val="none" w:sz="0" w:space="0" w:color="auto"/>
        <w:left w:val="none" w:sz="0" w:space="0" w:color="auto"/>
        <w:bottom w:val="none" w:sz="0" w:space="0" w:color="auto"/>
        <w:right w:val="none" w:sz="0" w:space="0" w:color="auto"/>
      </w:divBdr>
    </w:div>
    <w:div w:id="1924216194">
      <w:bodyDiv w:val="1"/>
      <w:marLeft w:val="0"/>
      <w:marRight w:val="0"/>
      <w:marTop w:val="0"/>
      <w:marBottom w:val="0"/>
      <w:divBdr>
        <w:top w:val="none" w:sz="0" w:space="0" w:color="auto"/>
        <w:left w:val="none" w:sz="0" w:space="0" w:color="auto"/>
        <w:bottom w:val="none" w:sz="0" w:space="0" w:color="auto"/>
        <w:right w:val="none" w:sz="0" w:space="0" w:color="auto"/>
      </w:divBdr>
    </w:div>
    <w:div w:id="1999116030">
      <w:bodyDiv w:val="1"/>
      <w:marLeft w:val="0"/>
      <w:marRight w:val="0"/>
      <w:marTop w:val="0"/>
      <w:marBottom w:val="0"/>
      <w:divBdr>
        <w:top w:val="none" w:sz="0" w:space="0" w:color="auto"/>
        <w:left w:val="none" w:sz="0" w:space="0" w:color="auto"/>
        <w:bottom w:val="none" w:sz="0" w:space="0" w:color="auto"/>
        <w:right w:val="none" w:sz="0" w:space="0" w:color="auto"/>
      </w:divBdr>
    </w:div>
    <w:div w:id="1999266839">
      <w:bodyDiv w:val="1"/>
      <w:marLeft w:val="0"/>
      <w:marRight w:val="0"/>
      <w:marTop w:val="0"/>
      <w:marBottom w:val="0"/>
      <w:divBdr>
        <w:top w:val="none" w:sz="0" w:space="0" w:color="auto"/>
        <w:left w:val="none" w:sz="0" w:space="0" w:color="auto"/>
        <w:bottom w:val="none" w:sz="0" w:space="0" w:color="auto"/>
        <w:right w:val="none" w:sz="0" w:space="0" w:color="auto"/>
      </w:divBdr>
    </w:div>
    <w:div w:id="211289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aj7g5/?view_only=5696ce6df42d4b5f800c52cf3535c83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sha\Dropbox\PROJECTS\Charity%20Choice%20Tortoise\STUDIES\202004%20April%20Prolific%20Charity%20Choice%20Critical%20Impact%20JE%20vs%20SE%20(S3)\April%202020%20Charity%20Choice_hybrid%20ttest%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sha\Dropbox\PROJECTS\Charity%20Choice%20Tortoise\STUDIES\202005%20May%20JE%20vs%20SE%20CandyStudy%20(S4)\May%202020%20Charity%20Choice_hybrid%20ttest%20.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sha\Dropbox\PROJECTS\Charity%20Choice%20Tortoise\STUDIES\202009%20Sep%20Prosocial%20vs%20Business%20study%20(S5)\charityvsbusiness_mea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solidFill>
                <a:schemeClr val="tx1">
                  <a:lumMod val="50000"/>
                  <a:lumOff val="50000"/>
                </a:schemeClr>
              </a:solidFill>
            </a:ln>
            <a:effectLst/>
          </c:spPr>
          <c:invertIfNegative val="0"/>
          <c:dPt>
            <c:idx val="2"/>
            <c:invertIfNegative val="0"/>
            <c:bubble3D val="0"/>
            <c:spPr>
              <a:solidFill>
                <a:schemeClr val="tx1">
                  <a:lumMod val="50000"/>
                  <a:lumOff val="50000"/>
                </a:schemeClr>
              </a:solidFill>
              <a:ln>
                <a:solidFill>
                  <a:schemeClr val="tx1">
                    <a:lumMod val="50000"/>
                    <a:lumOff val="50000"/>
                  </a:schemeClr>
                </a:solidFill>
              </a:ln>
              <a:effectLst/>
            </c:spPr>
            <c:extLst>
              <c:ext xmlns:c16="http://schemas.microsoft.com/office/drawing/2014/chart" uri="{C3380CC4-5D6E-409C-BE32-E72D297353CC}">
                <c16:uniqueId val="{00000001-7465-46AF-9D97-FEB1592E28AA}"/>
              </c:ext>
            </c:extLst>
          </c:dPt>
          <c:dPt>
            <c:idx val="3"/>
            <c:invertIfNegative val="0"/>
            <c:bubble3D val="0"/>
            <c:spPr>
              <a:solidFill>
                <a:schemeClr val="tx1">
                  <a:lumMod val="50000"/>
                  <a:lumOff val="50000"/>
                </a:schemeClr>
              </a:solidFill>
              <a:ln>
                <a:solidFill>
                  <a:schemeClr val="tx1">
                    <a:lumMod val="50000"/>
                    <a:lumOff val="50000"/>
                  </a:schemeClr>
                </a:solidFill>
              </a:ln>
              <a:effectLst/>
            </c:spPr>
            <c:extLst>
              <c:ext xmlns:c16="http://schemas.microsoft.com/office/drawing/2014/chart" uri="{C3380CC4-5D6E-409C-BE32-E72D297353CC}">
                <c16:uniqueId val="{00000003-7465-46AF-9D97-FEB1592E28AA}"/>
              </c:ext>
            </c:extLst>
          </c:dPt>
          <c:dLbls>
            <c:spPr>
              <a:noFill/>
              <a:ln>
                <a:noFill/>
              </a:ln>
              <a:effectLst/>
            </c:spPr>
            <c:txPr>
              <a:bodyPr rot="0" spcFirstLastPara="1" vertOverflow="ellipsis" vert="horz" wrap="square" tIns="108000" anchor="ctr" anchorCtr="1"/>
              <a:lstStyle/>
              <a:p>
                <a:pPr>
                  <a:defRPr sz="1000" b="0"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'hybrid t test (N=287)'!$F$2:$F$5</c:f>
                <c:numCache>
                  <c:formatCode>General</c:formatCode>
                  <c:ptCount val="4"/>
                  <c:pt idx="0">
                    <c:v>3.1527233351496413</c:v>
                  </c:pt>
                  <c:pt idx="1">
                    <c:v>2.724048288525577</c:v>
                  </c:pt>
                  <c:pt idx="2">
                    <c:v>2.9217695142690596</c:v>
                  </c:pt>
                  <c:pt idx="3">
                    <c:v>2.9217695142690596</c:v>
                  </c:pt>
                </c:numCache>
              </c:numRef>
            </c:plus>
            <c:minus>
              <c:numRef>
                <c:f>'hybrid t test (N=287)'!$F$2:$F$5</c:f>
                <c:numCache>
                  <c:formatCode>General</c:formatCode>
                  <c:ptCount val="4"/>
                  <c:pt idx="0">
                    <c:v>3.1527233351496413</c:v>
                  </c:pt>
                  <c:pt idx="1">
                    <c:v>2.724048288525577</c:v>
                  </c:pt>
                  <c:pt idx="2">
                    <c:v>2.9217695142690596</c:v>
                  </c:pt>
                  <c:pt idx="3">
                    <c:v>2.9217695142690596</c:v>
                  </c:pt>
                </c:numCache>
              </c:numRef>
            </c:minus>
            <c:spPr>
              <a:noFill/>
              <a:ln w="9525" cap="flat" cmpd="sng" algn="ctr">
                <a:solidFill>
                  <a:schemeClr val="tx1">
                    <a:lumMod val="65000"/>
                    <a:lumOff val="35000"/>
                  </a:schemeClr>
                </a:solidFill>
                <a:round/>
              </a:ln>
              <a:effectLst/>
            </c:spPr>
          </c:errBars>
          <c:cat>
            <c:strRef>
              <c:f>'hybrid t test (N=300_'!$A$2:$A$5</c:f>
              <c:strCache>
                <c:ptCount val="4"/>
                <c:pt idx="0">
                  <c:v>SE_far</c:v>
                </c:pt>
                <c:pt idx="1">
                  <c:v>SE_close</c:v>
                </c:pt>
                <c:pt idx="2">
                  <c:v>JE_far</c:v>
                </c:pt>
                <c:pt idx="3">
                  <c:v>JE_close</c:v>
                </c:pt>
              </c:strCache>
            </c:strRef>
          </c:cat>
          <c:val>
            <c:numRef>
              <c:f>'hybrid t test (N=287)'!$B$2:$B$5</c:f>
              <c:numCache>
                <c:formatCode>0.00</c:formatCode>
                <c:ptCount val="4"/>
                <c:pt idx="0">
                  <c:v>55.885416666666686</c:v>
                </c:pt>
                <c:pt idx="1">
                  <c:v>51.183673469387799</c:v>
                </c:pt>
                <c:pt idx="2">
                  <c:v>65.322580645161253</c:v>
                </c:pt>
                <c:pt idx="3">
                  <c:v>34.677419354838705</c:v>
                </c:pt>
              </c:numCache>
            </c:numRef>
          </c:val>
          <c:extLst>
            <c:ext xmlns:c16="http://schemas.microsoft.com/office/drawing/2014/chart" uri="{C3380CC4-5D6E-409C-BE32-E72D297353CC}">
              <c16:uniqueId val="{00000004-7465-46AF-9D97-FEB1592E28AA}"/>
            </c:ext>
          </c:extLst>
        </c:ser>
        <c:dLbls>
          <c:showLegendKey val="0"/>
          <c:showVal val="0"/>
          <c:showCatName val="0"/>
          <c:showSerName val="0"/>
          <c:showPercent val="0"/>
          <c:showBubbleSize val="0"/>
        </c:dLbls>
        <c:gapWidth val="70"/>
        <c:axId val="266992480"/>
        <c:axId val="165985680"/>
      </c:barChart>
      <c:catAx>
        <c:axId val="26699248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00" b="0"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985680"/>
        <c:crosses val="autoZero"/>
        <c:auto val="1"/>
        <c:lblAlgn val="ctr"/>
        <c:lblOffset val="100"/>
        <c:noMultiLvlLbl val="0"/>
      </c:catAx>
      <c:valAx>
        <c:axId val="165985680"/>
        <c:scaling>
          <c:orientation val="minMax"/>
          <c:max val="100"/>
        </c:scaling>
        <c:delete val="0"/>
        <c:axPos val="l"/>
        <c:title>
          <c:tx>
            <c:rich>
              <a:bodyPr/>
              <a:lstStyle/>
              <a:p>
                <a:pPr>
                  <a:defRPr/>
                </a:pPr>
                <a:r>
                  <a:rPr lang="en-CA" b="0"/>
                  <a:t>Donations to Target Charity</a:t>
                </a:r>
                <a:r>
                  <a:rPr lang="en-CA" sz="1000" b="1" i="0" u="none" strike="noStrike" baseline="0">
                    <a:effectLst/>
                  </a:rPr>
                  <a:t> </a:t>
                </a:r>
                <a:r>
                  <a:rPr lang="en-CA" sz="1000" b="0" i="0" u="none" strike="noStrike" baseline="0">
                    <a:effectLst/>
                  </a:rPr>
                  <a:t>(£)</a:t>
                </a:r>
                <a:r>
                  <a:rPr lang="en-CA" b="0"/>
                  <a:t> </a:t>
                </a:r>
              </a:p>
            </c:rich>
          </c:tx>
          <c:overlay val="0"/>
        </c:title>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699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solidFill>
                <a:schemeClr val="tx1">
                  <a:lumMod val="50000"/>
                  <a:lumOff val="50000"/>
                </a:schemeClr>
              </a:solidFill>
            </a:ln>
            <a:effectLst/>
          </c:spPr>
          <c:invertIfNegative val="0"/>
          <c:dPt>
            <c:idx val="1"/>
            <c:invertIfNegative val="0"/>
            <c:bubble3D val="0"/>
            <c:spPr>
              <a:solidFill>
                <a:schemeClr val="bg1">
                  <a:lumMod val="85000"/>
                </a:schemeClr>
              </a:solidFill>
              <a:ln>
                <a:solidFill>
                  <a:schemeClr val="tx1">
                    <a:lumMod val="50000"/>
                    <a:lumOff val="50000"/>
                  </a:schemeClr>
                </a:solidFill>
              </a:ln>
              <a:effectLst/>
            </c:spPr>
            <c:extLst>
              <c:ext xmlns:c16="http://schemas.microsoft.com/office/drawing/2014/chart" uri="{C3380CC4-5D6E-409C-BE32-E72D297353CC}">
                <c16:uniqueId val="{00000001-B292-4E6E-B5C9-3B801D7D91C5}"/>
              </c:ext>
            </c:extLst>
          </c:dPt>
          <c:dPt>
            <c:idx val="2"/>
            <c:invertIfNegative val="0"/>
            <c:bubble3D val="0"/>
            <c:spPr>
              <a:solidFill>
                <a:schemeClr val="tx1">
                  <a:lumMod val="50000"/>
                  <a:lumOff val="50000"/>
                </a:schemeClr>
              </a:solidFill>
              <a:ln>
                <a:solidFill>
                  <a:schemeClr val="tx1">
                    <a:lumMod val="50000"/>
                    <a:lumOff val="50000"/>
                  </a:schemeClr>
                </a:solidFill>
              </a:ln>
              <a:effectLst/>
            </c:spPr>
            <c:extLst>
              <c:ext xmlns:c16="http://schemas.microsoft.com/office/drawing/2014/chart" uri="{C3380CC4-5D6E-409C-BE32-E72D297353CC}">
                <c16:uniqueId val="{00000003-B292-4E6E-B5C9-3B801D7D91C5}"/>
              </c:ext>
            </c:extLst>
          </c:dPt>
          <c:dPt>
            <c:idx val="3"/>
            <c:invertIfNegative val="0"/>
            <c:bubble3D val="0"/>
            <c:spPr>
              <a:solidFill>
                <a:schemeClr val="tx1">
                  <a:lumMod val="50000"/>
                  <a:lumOff val="50000"/>
                </a:schemeClr>
              </a:solidFill>
              <a:ln>
                <a:solidFill>
                  <a:schemeClr val="tx1">
                    <a:lumMod val="50000"/>
                    <a:lumOff val="50000"/>
                  </a:schemeClr>
                </a:solidFill>
              </a:ln>
              <a:effectLst/>
            </c:spPr>
            <c:extLst>
              <c:ext xmlns:c16="http://schemas.microsoft.com/office/drawing/2014/chart" uri="{C3380CC4-5D6E-409C-BE32-E72D297353CC}">
                <c16:uniqueId val="{00000005-B292-4E6E-B5C9-3B801D7D91C5}"/>
              </c:ext>
            </c:extLst>
          </c:dPt>
          <c:dLbls>
            <c:dLbl>
              <c:idx val="0"/>
              <c:layout>
                <c:manualLayout>
                  <c:x val="0"/>
                  <c:y val="-5.18444666001994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92-4E6E-B5C9-3B801D7D91C5}"/>
                </c:ext>
              </c:extLst>
            </c:dLbl>
            <c:dLbl>
              <c:idx val="1"/>
              <c:layout>
                <c:manualLayout>
                  <c:x val="0"/>
                  <c:y val="-3.5892323030907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92-4E6E-B5C9-3B801D7D91C5}"/>
                </c:ext>
              </c:extLst>
            </c:dLbl>
            <c:dLbl>
              <c:idx val="2"/>
              <c:layout>
                <c:manualLayout>
                  <c:x val="0"/>
                  <c:y val="-2.79162512462612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92-4E6E-B5C9-3B801D7D91C5}"/>
                </c:ext>
              </c:extLst>
            </c:dLbl>
            <c:dLbl>
              <c:idx val="3"/>
              <c:layout>
                <c:manualLayout>
                  <c:x val="0"/>
                  <c:y val="-3.5892323030907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92-4E6E-B5C9-3B801D7D91C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'hybrid t test (May2020) (N=273)'!$F$2:$F$5</c:f>
                <c:numCache>
                  <c:formatCode>General</c:formatCode>
                  <c:ptCount val="4"/>
                  <c:pt idx="0">
                    <c:v>0.15863428117791931</c:v>
                  </c:pt>
                  <c:pt idx="1">
                    <c:v>0.1529921351135195</c:v>
                  </c:pt>
                  <c:pt idx="2">
                    <c:v>0.11906227016071957</c:v>
                  </c:pt>
                  <c:pt idx="3">
                    <c:v>0.19806758753205744</c:v>
                  </c:pt>
                </c:numCache>
              </c:numRef>
            </c:plus>
            <c:minus>
              <c:numRef>
                <c:f>'hybrid t test (May2020) (N=273)'!$F$2:$F$5</c:f>
                <c:numCache>
                  <c:formatCode>General</c:formatCode>
                  <c:ptCount val="4"/>
                  <c:pt idx="0">
                    <c:v>0.15863428117791931</c:v>
                  </c:pt>
                  <c:pt idx="1">
                    <c:v>0.1529921351135195</c:v>
                  </c:pt>
                  <c:pt idx="2">
                    <c:v>0.11906227016071957</c:v>
                  </c:pt>
                  <c:pt idx="3">
                    <c:v>0.19806758753205744</c:v>
                  </c:pt>
                </c:numCache>
              </c:numRef>
            </c:minus>
            <c:spPr>
              <a:noFill/>
              <a:ln w="9525" cap="flat" cmpd="sng" algn="ctr">
                <a:solidFill>
                  <a:schemeClr val="tx1">
                    <a:lumMod val="65000"/>
                    <a:lumOff val="35000"/>
                  </a:schemeClr>
                </a:solidFill>
                <a:round/>
              </a:ln>
              <a:effectLst/>
            </c:spPr>
          </c:errBars>
          <c:cat>
            <c:strRef>
              <c:f>'hybrid t test (May2020) (N=273)'!$A$2:$A$5</c:f>
              <c:strCache>
                <c:ptCount val="4"/>
                <c:pt idx="0">
                  <c:v>SE_far</c:v>
                </c:pt>
                <c:pt idx="1">
                  <c:v>SE_close</c:v>
                </c:pt>
                <c:pt idx="2">
                  <c:v>JE_far</c:v>
                </c:pt>
                <c:pt idx="3">
                  <c:v>JE_close</c:v>
                </c:pt>
              </c:strCache>
            </c:strRef>
          </c:cat>
          <c:val>
            <c:numRef>
              <c:f>'hybrid t test (May2020) (N=273)'!$B$2:$B$5</c:f>
              <c:numCache>
                <c:formatCode>0.00</c:formatCode>
                <c:ptCount val="4"/>
                <c:pt idx="0">
                  <c:v>5.33</c:v>
                </c:pt>
                <c:pt idx="1">
                  <c:v>5.78</c:v>
                </c:pt>
                <c:pt idx="2">
                  <c:v>5.9</c:v>
                </c:pt>
                <c:pt idx="3">
                  <c:v>4.7300000000000004</c:v>
                </c:pt>
              </c:numCache>
            </c:numRef>
          </c:val>
          <c:extLst>
            <c:ext xmlns:c16="http://schemas.microsoft.com/office/drawing/2014/chart" uri="{C3380CC4-5D6E-409C-BE32-E72D297353CC}">
              <c16:uniqueId val="{00000007-B292-4E6E-B5C9-3B801D7D91C5}"/>
            </c:ext>
          </c:extLst>
        </c:ser>
        <c:dLbls>
          <c:showLegendKey val="0"/>
          <c:showVal val="0"/>
          <c:showCatName val="0"/>
          <c:showSerName val="0"/>
          <c:showPercent val="0"/>
          <c:showBubbleSize val="0"/>
        </c:dLbls>
        <c:gapWidth val="49"/>
        <c:overlap val="23"/>
        <c:axId val="1670163376"/>
        <c:axId val="1772608768"/>
      </c:barChart>
      <c:catAx>
        <c:axId val="167016337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72608768"/>
        <c:crosses val="autoZero"/>
        <c:auto val="1"/>
        <c:lblAlgn val="ctr"/>
        <c:lblOffset val="100"/>
        <c:noMultiLvlLbl val="0"/>
      </c:catAx>
      <c:valAx>
        <c:axId val="1772608768"/>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CA"/>
                  <a:t>Likelihood of Buying a Candy Bar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70163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'N=486'!$A$2</c:f>
              <c:strCache>
                <c:ptCount val="1"/>
                <c:pt idx="0">
                  <c:v>JE far</c:v>
                </c:pt>
              </c:strCache>
            </c:strRef>
          </c:tx>
          <c:spPr>
            <a:solidFill>
              <a:schemeClr val="bg1">
                <a:lumMod val="85000"/>
              </a:schemeClr>
            </a:solidFill>
            <a:ln>
              <a:solidFill>
                <a:schemeClr val="tx1">
                  <a:lumMod val="50000"/>
                  <a:lumOff val="50000"/>
                </a:schemeClr>
              </a:solidFill>
            </a:ln>
            <a:effectLst/>
          </c:spPr>
          <c:invertIfNegative val="0"/>
          <c:dLbls>
            <c:dLbl>
              <c:idx val="0"/>
              <c:spPr>
                <a:noFill/>
                <a:ln>
                  <a:noFill/>
                </a:ln>
                <a:effectLst/>
              </c:spPr>
              <c:txPr>
                <a:bodyPr rot="0" spcFirstLastPara="1" vertOverflow="ellipsis" vert="horz" wrap="square" tIns="108000"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9B46-4AFC-A6D9-592BB07866CA}"/>
                </c:ext>
              </c:extLst>
            </c:dLbl>
            <c:dLbl>
              <c:idx val="1"/>
              <c:spPr>
                <a:noFill/>
                <a:ln>
                  <a:noFill/>
                </a:ln>
                <a:effectLst/>
              </c:spPr>
              <c:txPr>
                <a:bodyPr rot="0" spcFirstLastPara="1" vertOverflow="ellipsis" vert="horz" wrap="square" tIns="108000" rIns="72000"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9B46-4AFC-A6D9-592BB07866CA}"/>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'N=486'!$B$16:$C$16</c:f>
                <c:numCache>
                  <c:formatCode>General</c:formatCode>
                  <c:ptCount val="2"/>
                  <c:pt idx="0">
                    <c:v>3.5697088190259407</c:v>
                  </c:pt>
                  <c:pt idx="1">
                    <c:v>3.3604313384575799</c:v>
                  </c:pt>
                </c:numCache>
              </c:numRef>
            </c:plus>
            <c:minus>
              <c:numRef>
                <c:f>'N=486'!$B$16:$C$16</c:f>
                <c:numCache>
                  <c:formatCode>General</c:formatCode>
                  <c:ptCount val="2"/>
                  <c:pt idx="0">
                    <c:v>3.5697088190259407</c:v>
                  </c:pt>
                  <c:pt idx="1">
                    <c:v>3.3604313384575799</c:v>
                  </c:pt>
                </c:numCache>
              </c:numRef>
            </c:minus>
            <c:spPr>
              <a:noFill/>
              <a:ln w="9525" cap="flat" cmpd="sng" algn="ctr">
                <a:solidFill>
                  <a:schemeClr val="tx1">
                    <a:lumMod val="65000"/>
                    <a:lumOff val="35000"/>
                  </a:schemeClr>
                </a:solidFill>
                <a:round/>
              </a:ln>
              <a:effectLst/>
            </c:spPr>
          </c:errBars>
          <c:cat>
            <c:strRef>
              <c:f>'N=486'!$B$1:$C$1</c:f>
              <c:strCache>
                <c:ptCount val="2"/>
                <c:pt idx="0">
                  <c:v>Charity</c:v>
                </c:pt>
                <c:pt idx="1">
                  <c:v>Business</c:v>
                </c:pt>
              </c:strCache>
            </c:strRef>
          </c:cat>
          <c:val>
            <c:numRef>
              <c:f>'N=486'!$B$2:$C$2</c:f>
              <c:numCache>
                <c:formatCode>General</c:formatCode>
                <c:ptCount val="2"/>
                <c:pt idx="0">
                  <c:v>55.71</c:v>
                </c:pt>
                <c:pt idx="1">
                  <c:v>47.84</c:v>
                </c:pt>
              </c:numCache>
            </c:numRef>
          </c:val>
          <c:extLst>
            <c:ext xmlns:c16="http://schemas.microsoft.com/office/drawing/2014/chart" uri="{C3380CC4-5D6E-409C-BE32-E72D297353CC}">
              <c16:uniqueId val="{00000002-9B46-4AFC-A6D9-592BB07866CA}"/>
            </c:ext>
          </c:extLst>
        </c:ser>
        <c:ser>
          <c:idx val="1"/>
          <c:order val="1"/>
          <c:tx>
            <c:strRef>
              <c:f>'N=486'!$A$3</c:f>
              <c:strCache>
                <c:ptCount val="1"/>
                <c:pt idx="0">
                  <c:v>JE close</c:v>
                </c:pt>
              </c:strCache>
            </c:strRef>
          </c:tx>
          <c:spPr>
            <a:solidFill>
              <a:schemeClr val="tx1">
                <a:lumMod val="50000"/>
                <a:lumOff val="5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tIns="108000"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'N=486'!$B$17:$C$17</c:f>
                <c:numCache>
                  <c:formatCode>General</c:formatCode>
                  <c:ptCount val="2"/>
                  <c:pt idx="0">
                    <c:v>3.5697088190259407</c:v>
                  </c:pt>
                  <c:pt idx="1">
                    <c:v>3.3604313384575799</c:v>
                  </c:pt>
                </c:numCache>
              </c:numRef>
            </c:plus>
            <c:minus>
              <c:numRef>
                <c:f>'N=486'!$B$17:$C$17</c:f>
                <c:numCache>
                  <c:formatCode>General</c:formatCode>
                  <c:ptCount val="2"/>
                  <c:pt idx="0">
                    <c:v>3.5697088190259407</c:v>
                  </c:pt>
                  <c:pt idx="1">
                    <c:v>3.3604313384575799</c:v>
                  </c:pt>
                </c:numCache>
              </c:numRef>
            </c:minus>
            <c:spPr>
              <a:noFill/>
              <a:ln w="9525" cap="flat" cmpd="sng" algn="ctr">
                <a:solidFill>
                  <a:schemeClr val="tx1">
                    <a:lumMod val="65000"/>
                    <a:lumOff val="35000"/>
                  </a:schemeClr>
                </a:solidFill>
                <a:round/>
              </a:ln>
              <a:effectLst/>
            </c:spPr>
          </c:errBars>
          <c:cat>
            <c:strRef>
              <c:f>'N=486'!$B$1:$C$1</c:f>
              <c:strCache>
                <c:ptCount val="2"/>
                <c:pt idx="0">
                  <c:v>Charity</c:v>
                </c:pt>
                <c:pt idx="1">
                  <c:v>Business</c:v>
                </c:pt>
              </c:strCache>
            </c:strRef>
          </c:cat>
          <c:val>
            <c:numRef>
              <c:f>'N=486'!$B$3:$C$3</c:f>
              <c:numCache>
                <c:formatCode>General</c:formatCode>
                <c:ptCount val="2"/>
                <c:pt idx="0">
                  <c:v>44.29</c:v>
                </c:pt>
                <c:pt idx="1">
                  <c:v>52.16</c:v>
                </c:pt>
              </c:numCache>
            </c:numRef>
          </c:val>
          <c:extLst>
            <c:ext xmlns:c16="http://schemas.microsoft.com/office/drawing/2014/chart" uri="{C3380CC4-5D6E-409C-BE32-E72D297353CC}">
              <c16:uniqueId val="{00000003-9B46-4AFC-A6D9-592BB07866CA}"/>
            </c:ext>
          </c:extLst>
        </c:ser>
        <c:ser>
          <c:idx val="2"/>
          <c:order val="2"/>
          <c:tx>
            <c:strRef>
              <c:f>'N=486'!$A$4</c:f>
              <c:strCache>
                <c:ptCount val="1"/>
                <c:pt idx="0">
                  <c:v>SE far</c:v>
                </c:pt>
              </c:strCache>
            </c:strRef>
          </c:tx>
          <c:spPr>
            <a:pattFill prst="ltUpDiag">
              <a:fgClr>
                <a:schemeClr val="bg1">
                  <a:lumMod val="85000"/>
                </a:schemeClr>
              </a:fgClr>
              <a:bgClr>
                <a:schemeClr val="bg1"/>
              </a:bgClr>
            </a:pattFill>
            <a:ln>
              <a:solidFill>
                <a:schemeClr val="tx1">
                  <a:lumMod val="50000"/>
                  <a:lumOff val="50000"/>
                </a:schemeClr>
              </a:solidFill>
            </a:ln>
            <a:effectLst/>
          </c:spPr>
          <c:invertIfNegative val="0"/>
          <c:dLbls>
            <c:spPr>
              <a:noFill/>
              <a:ln>
                <a:noFill/>
              </a:ln>
              <a:effectLst/>
            </c:spPr>
            <c:txPr>
              <a:bodyPr rot="0" spcFirstLastPara="1" vertOverflow="ellipsis" vert="horz" wrap="square" tIns="108000"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'N=486'!$B$18:$C$18</c:f>
                <c:numCache>
                  <c:formatCode>General</c:formatCode>
                  <c:ptCount val="2"/>
                  <c:pt idx="0">
                    <c:v>3.4933979323753044</c:v>
                  </c:pt>
                  <c:pt idx="1">
                    <c:v>2.9965545348716365</c:v>
                  </c:pt>
                </c:numCache>
              </c:numRef>
            </c:plus>
            <c:minus>
              <c:numRef>
                <c:f>'N=486'!$B$18:$C$18</c:f>
                <c:numCache>
                  <c:formatCode>General</c:formatCode>
                  <c:ptCount val="2"/>
                  <c:pt idx="0">
                    <c:v>3.4933979323753044</c:v>
                  </c:pt>
                  <c:pt idx="1">
                    <c:v>2.9965545348716365</c:v>
                  </c:pt>
                </c:numCache>
              </c:numRef>
            </c:minus>
            <c:spPr>
              <a:noFill/>
              <a:ln w="9525" cap="flat" cmpd="sng" algn="ctr">
                <a:solidFill>
                  <a:schemeClr val="tx1">
                    <a:lumMod val="65000"/>
                    <a:lumOff val="35000"/>
                  </a:schemeClr>
                </a:solidFill>
                <a:round/>
              </a:ln>
              <a:effectLst/>
            </c:spPr>
          </c:errBars>
          <c:cat>
            <c:strRef>
              <c:f>'N=486'!$B$1:$C$1</c:f>
              <c:strCache>
                <c:ptCount val="2"/>
                <c:pt idx="0">
                  <c:v>Charity</c:v>
                </c:pt>
                <c:pt idx="1">
                  <c:v>Business</c:v>
                </c:pt>
              </c:strCache>
            </c:strRef>
          </c:cat>
          <c:val>
            <c:numRef>
              <c:f>'N=486'!$B$4:$C$4</c:f>
              <c:numCache>
                <c:formatCode>General</c:formatCode>
                <c:ptCount val="2"/>
                <c:pt idx="0">
                  <c:v>36.520000000000003</c:v>
                </c:pt>
                <c:pt idx="1">
                  <c:v>40.4</c:v>
                </c:pt>
              </c:numCache>
            </c:numRef>
          </c:val>
          <c:extLst>
            <c:ext xmlns:c16="http://schemas.microsoft.com/office/drawing/2014/chart" uri="{C3380CC4-5D6E-409C-BE32-E72D297353CC}">
              <c16:uniqueId val="{00000004-9B46-4AFC-A6D9-592BB07866CA}"/>
            </c:ext>
          </c:extLst>
        </c:ser>
        <c:ser>
          <c:idx val="3"/>
          <c:order val="3"/>
          <c:tx>
            <c:strRef>
              <c:f>'N=486'!$A$5</c:f>
              <c:strCache>
                <c:ptCount val="1"/>
                <c:pt idx="0">
                  <c:v>SE close</c:v>
                </c:pt>
              </c:strCache>
            </c:strRef>
          </c:tx>
          <c:spPr>
            <a:pattFill prst="ltUpDiag">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0" spcFirstLastPara="1" vertOverflow="ellipsis" vert="horz" wrap="square" tIns="108000"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'N=486'!$B$19:$C$19</c:f>
                <c:numCache>
                  <c:formatCode>General</c:formatCode>
                  <c:ptCount val="2"/>
                  <c:pt idx="0">
                    <c:v>3.2278771877567629</c:v>
                  </c:pt>
                  <c:pt idx="1">
                    <c:v>3.1875541101006073</c:v>
                  </c:pt>
                </c:numCache>
              </c:numRef>
            </c:plus>
            <c:minus>
              <c:numRef>
                <c:f>'N=486'!$B$19:$C$19</c:f>
                <c:numCache>
                  <c:formatCode>General</c:formatCode>
                  <c:ptCount val="2"/>
                  <c:pt idx="0">
                    <c:v>3.2278771877567629</c:v>
                  </c:pt>
                  <c:pt idx="1">
                    <c:v>3.1875541101006073</c:v>
                  </c:pt>
                </c:numCache>
              </c:numRef>
            </c:minus>
            <c:spPr>
              <a:noFill/>
              <a:ln w="9525" cap="flat" cmpd="sng" algn="ctr">
                <a:solidFill>
                  <a:schemeClr val="tx1">
                    <a:lumMod val="65000"/>
                    <a:lumOff val="35000"/>
                  </a:schemeClr>
                </a:solidFill>
                <a:round/>
              </a:ln>
              <a:effectLst/>
            </c:spPr>
          </c:errBars>
          <c:cat>
            <c:strRef>
              <c:f>'N=486'!$B$1:$C$1</c:f>
              <c:strCache>
                <c:ptCount val="2"/>
                <c:pt idx="0">
                  <c:v>Charity</c:v>
                </c:pt>
                <c:pt idx="1">
                  <c:v>Business</c:v>
                </c:pt>
              </c:strCache>
            </c:strRef>
          </c:cat>
          <c:val>
            <c:numRef>
              <c:f>'N=486'!$B$5:$C$5</c:f>
              <c:numCache>
                <c:formatCode>General</c:formatCode>
                <c:ptCount val="2"/>
                <c:pt idx="0">
                  <c:v>43.86</c:v>
                </c:pt>
                <c:pt idx="1">
                  <c:v>48.43</c:v>
                </c:pt>
              </c:numCache>
            </c:numRef>
          </c:val>
          <c:extLst>
            <c:ext xmlns:c16="http://schemas.microsoft.com/office/drawing/2014/chart" uri="{C3380CC4-5D6E-409C-BE32-E72D297353CC}">
              <c16:uniqueId val="{00000005-9B46-4AFC-A6D9-592BB07866CA}"/>
            </c:ext>
          </c:extLst>
        </c:ser>
        <c:dLbls>
          <c:dLblPos val="outEnd"/>
          <c:showLegendKey val="0"/>
          <c:showVal val="1"/>
          <c:showCatName val="0"/>
          <c:showSerName val="0"/>
          <c:showPercent val="0"/>
          <c:showBubbleSize val="0"/>
        </c:dLbls>
        <c:gapWidth val="219"/>
        <c:overlap val="-27"/>
        <c:axId val="2010866415"/>
        <c:axId val="2053312159"/>
      </c:barChart>
      <c:catAx>
        <c:axId val="2010866415"/>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53312159"/>
        <c:crosses val="autoZero"/>
        <c:auto val="1"/>
        <c:lblAlgn val="ctr"/>
        <c:lblOffset val="100"/>
        <c:noMultiLvlLbl val="0"/>
      </c:catAx>
      <c:valAx>
        <c:axId val="2053312159"/>
        <c:scaling>
          <c:orientation val="minMax"/>
        </c:scaling>
        <c:delete val="0"/>
        <c:axPos val="l"/>
        <c:numFmt formatCode="General"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0866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6A258-A746-4376-9F89-6CF56C1D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51</Pages>
  <Words>34726</Words>
  <Characters>197939</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Katherine</dc:creator>
  <cp:keywords/>
  <dc:description/>
  <cp:lastModifiedBy>David Hardisty</cp:lastModifiedBy>
  <cp:revision>8</cp:revision>
  <cp:lastPrinted>2021-04-06T10:49:00Z</cp:lastPrinted>
  <dcterms:created xsi:type="dcterms:W3CDTF">2024-04-21T01:27:00Z</dcterms:created>
  <dcterms:modified xsi:type="dcterms:W3CDTF">2024-09-16T01:00:00Z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id="vAAsEqJO"/&gt;&lt;style id="http://www.zotero.org/styles/journal-of-marketing-research" hasBibliography="1" bibliographyStyleHasBeenSet="1"/&gt;&lt;prefs&gt;&lt;pref name="fieldType" value="Field"/&gt;&lt;pref name="aut</vt:lpwstr>
  </property>
  <property fmtid="{D5CDD505-2E9C-101B-9397-08002B2CF9AE}" pid="3" name="ZOTERO_PREF_2">
    <vt:lpwstr>omaticJournalAbbreviations" value="true"/&gt;&lt;/prefs&gt;&lt;/data&gt;</vt:lpwstr>
  </property>
  <property fmtid="{D5CDD505-2E9C-101B-9397-08002B2CF9AE}" pid="4" name="GrammarlyDocumentId">
    <vt:lpwstr>bc1d9eced2a75de666d4e0f07bdb3362593f9ac1064b507ee3e1105bf8522c40</vt:lpwstr>
  </property>
</Properties>
</file>